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422D" w14:textId="77777777" w:rsidR="00A25439" w:rsidRPr="004710FD" w:rsidRDefault="00A25439" w:rsidP="00186DD4">
      <w:pPr>
        <w:spacing w:after="0" w:line="276" w:lineRule="auto"/>
        <w:jc w:val="both"/>
        <w:rPr>
          <w:rFonts w:ascii="Arial" w:hAnsi="Arial" w:cs="Arial"/>
        </w:rPr>
      </w:pPr>
    </w:p>
    <w:p w14:paraId="7BB106A9" w14:textId="0F6F2232" w:rsidR="00E848EA" w:rsidRDefault="005852F0" w:rsidP="00186DD4">
      <w:pPr>
        <w:spacing w:after="0" w:line="276" w:lineRule="auto"/>
        <w:jc w:val="both"/>
        <w:rPr>
          <w:rFonts w:ascii="Arial" w:eastAsia="Calibri" w:hAnsi="Arial" w:cs="Arial"/>
          <w:b/>
          <w:bCs/>
        </w:rPr>
      </w:pPr>
      <w:r>
        <w:rPr>
          <w:rFonts w:ascii="Arial" w:eastAsia="Calibri" w:hAnsi="Arial" w:cs="Arial"/>
          <w:b/>
          <w:bCs/>
        </w:rPr>
        <w:t xml:space="preserve">Karmen </w:t>
      </w:r>
      <w:proofErr w:type="spellStart"/>
      <w:r>
        <w:rPr>
          <w:rFonts w:ascii="Arial" w:eastAsia="Calibri" w:hAnsi="Arial" w:cs="Arial"/>
          <w:b/>
          <w:bCs/>
        </w:rPr>
        <w:t>Joller</w:t>
      </w:r>
      <w:proofErr w:type="spellEnd"/>
    </w:p>
    <w:p w14:paraId="7A0E7063" w14:textId="09411460" w:rsidR="005852F0" w:rsidRDefault="005852F0" w:rsidP="00186DD4">
      <w:pPr>
        <w:spacing w:after="0" w:line="276" w:lineRule="auto"/>
        <w:jc w:val="both"/>
        <w:rPr>
          <w:rFonts w:ascii="Arial" w:eastAsia="Calibri" w:hAnsi="Arial" w:cs="Arial"/>
          <w:b/>
          <w:bCs/>
        </w:rPr>
      </w:pPr>
      <w:r>
        <w:rPr>
          <w:rFonts w:ascii="Arial" w:eastAsia="Calibri" w:hAnsi="Arial" w:cs="Arial"/>
          <w:b/>
          <w:bCs/>
        </w:rPr>
        <w:t xml:space="preserve">Heli </w:t>
      </w:r>
      <w:proofErr w:type="spellStart"/>
      <w:r>
        <w:rPr>
          <w:rFonts w:ascii="Arial" w:eastAsia="Calibri" w:hAnsi="Arial" w:cs="Arial"/>
          <w:b/>
          <w:bCs/>
        </w:rPr>
        <w:t>Paluste</w:t>
      </w:r>
      <w:proofErr w:type="spellEnd"/>
    </w:p>
    <w:p w14:paraId="35E6B6CC" w14:textId="628635A3" w:rsidR="005852F0" w:rsidRPr="004710FD" w:rsidRDefault="005852F0" w:rsidP="00186DD4">
      <w:pPr>
        <w:spacing w:after="0" w:line="276" w:lineRule="auto"/>
        <w:jc w:val="both"/>
        <w:rPr>
          <w:rFonts w:ascii="Arial" w:eastAsia="Calibri" w:hAnsi="Arial" w:cs="Arial"/>
          <w:b/>
          <w:bCs/>
        </w:rPr>
      </w:pPr>
      <w:r>
        <w:rPr>
          <w:rFonts w:ascii="Arial" w:eastAsia="Calibri" w:hAnsi="Arial" w:cs="Arial"/>
          <w:b/>
          <w:bCs/>
        </w:rPr>
        <w:t>Sotsiaalministeerium</w:t>
      </w:r>
    </w:p>
    <w:p w14:paraId="66C743ED" w14:textId="77777777" w:rsidR="00A25439" w:rsidRPr="004710FD" w:rsidRDefault="00A25439" w:rsidP="00186DD4">
      <w:pPr>
        <w:spacing w:line="276" w:lineRule="auto"/>
        <w:jc w:val="both"/>
        <w:rPr>
          <w:rFonts w:ascii="Arial" w:eastAsia="Calibri" w:hAnsi="Arial" w:cs="Arial"/>
        </w:rPr>
      </w:pPr>
    </w:p>
    <w:p w14:paraId="50A89751" w14:textId="7C2DBB01" w:rsidR="004710FD" w:rsidRPr="004710FD" w:rsidRDefault="00277E27" w:rsidP="00F36E6B">
      <w:pPr>
        <w:spacing w:line="276" w:lineRule="auto"/>
        <w:jc w:val="right"/>
        <w:rPr>
          <w:rFonts w:ascii="Arial" w:eastAsia="Calibri" w:hAnsi="Arial" w:cs="Arial"/>
          <w:b/>
          <w:bCs/>
        </w:rPr>
      </w:pPr>
      <w:r>
        <w:rPr>
          <w:rFonts w:ascii="Arial" w:eastAsia="Calibri" w:hAnsi="Arial" w:cs="Arial"/>
          <w:b/>
          <w:bCs/>
        </w:rPr>
        <w:t>3</w:t>
      </w:r>
      <w:r w:rsidR="00E61BFC">
        <w:rPr>
          <w:rFonts w:ascii="Arial" w:eastAsia="Calibri" w:hAnsi="Arial" w:cs="Arial"/>
          <w:b/>
          <w:bCs/>
        </w:rPr>
        <w:t>. veebruar 2026</w:t>
      </w:r>
    </w:p>
    <w:p w14:paraId="6EC1EEBE" w14:textId="77777777" w:rsidR="004710FD" w:rsidRPr="004710FD" w:rsidRDefault="004710FD" w:rsidP="00186DD4">
      <w:pPr>
        <w:spacing w:line="276" w:lineRule="auto"/>
        <w:jc w:val="both"/>
        <w:rPr>
          <w:rFonts w:ascii="Arial" w:hAnsi="Arial" w:cs="Arial"/>
          <w:color w:val="000000" w:themeColor="text1"/>
        </w:rPr>
      </w:pPr>
    </w:p>
    <w:p w14:paraId="17D2BFCA" w14:textId="4FE3C645" w:rsidR="004710FD" w:rsidRPr="004710FD" w:rsidRDefault="004710FD" w:rsidP="00186DD4">
      <w:pPr>
        <w:spacing w:line="276" w:lineRule="auto"/>
        <w:jc w:val="both"/>
        <w:rPr>
          <w:rFonts w:ascii="Arial" w:hAnsi="Arial" w:cs="Arial"/>
          <w:b/>
          <w:bCs/>
          <w:color w:val="000000" w:themeColor="text1"/>
        </w:rPr>
      </w:pPr>
      <w:r w:rsidRPr="004710FD">
        <w:rPr>
          <w:rFonts w:ascii="Arial" w:hAnsi="Arial" w:cs="Arial"/>
          <w:b/>
          <w:bCs/>
          <w:color w:val="000000" w:themeColor="text1"/>
        </w:rPr>
        <w:t xml:space="preserve">EESTI HAMBAARSTIDE LIIDU (EHL) ETTEPANEK </w:t>
      </w:r>
      <w:r w:rsidR="005852F0">
        <w:rPr>
          <w:rFonts w:ascii="Arial" w:hAnsi="Arial" w:cs="Arial"/>
          <w:b/>
          <w:bCs/>
          <w:color w:val="000000" w:themeColor="text1"/>
        </w:rPr>
        <w:t>TERVISHOIUTEENUSE OSUTAJA KOHUSTUSLIKU VASTUTUSKINDLUSTUSE SEADUSE</w:t>
      </w:r>
      <w:r w:rsidR="00BF40E0">
        <w:rPr>
          <w:rFonts w:ascii="Arial" w:hAnsi="Arial" w:cs="Arial"/>
          <w:b/>
          <w:bCs/>
          <w:color w:val="000000" w:themeColor="text1"/>
        </w:rPr>
        <w:t xml:space="preserve"> (TOKVS)</w:t>
      </w:r>
      <w:r w:rsidR="005852F0">
        <w:rPr>
          <w:rFonts w:ascii="Arial" w:hAnsi="Arial" w:cs="Arial"/>
          <w:b/>
          <w:bCs/>
          <w:color w:val="000000" w:themeColor="text1"/>
        </w:rPr>
        <w:t xml:space="preserve"> MUUTMISEKS</w:t>
      </w:r>
    </w:p>
    <w:p w14:paraId="20F0D394" w14:textId="77777777" w:rsidR="004710FD" w:rsidRDefault="004710FD" w:rsidP="00186DD4">
      <w:pPr>
        <w:spacing w:line="276" w:lineRule="auto"/>
        <w:jc w:val="both"/>
        <w:rPr>
          <w:rFonts w:ascii="Arial" w:hAnsi="Arial" w:cs="Arial"/>
          <w:color w:val="000000" w:themeColor="text1"/>
        </w:rPr>
      </w:pPr>
    </w:p>
    <w:p w14:paraId="6DDC470E" w14:textId="7343D13B" w:rsidR="00037B80" w:rsidRDefault="00622765" w:rsidP="00186DD4">
      <w:pPr>
        <w:pStyle w:val="ListParagraph"/>
        <w:numPr>
          <w:ilvl w:val="0"/>
          <w:numId w:val="24"/>
        </w:numPr>
        <w:spacing w:line="276" w:lineRule="auto"/>
        <w:ind w:left="426"/>
        <w:jc w:val="both"/>
        <w:rPr>
          <w:rFonts w:ascii="Arial" w:hAnsi="Arial" w:cs="Arial"/>
          <w:color w:val="000000" w:themeColor="text1"/>
        </w:rPr>
      </w:pPr>
      <w:r w:rsidRPr="00277E27">
        <w:rPr>
          <w:rFonts w:ascii="Arial" w:hAnsi="Arial" w:cs="Arial"/>
          <w:b/>
          <w:bCs/>
          <w:color w:val="000000" w:themeColor="text1"/>
        </w:rPr>
        <w:t>Kindlustussumma</w:t>
      </w:r>
      <w:r>
        <w:rPr>
          <w:rFonts w:ascii="Arial" w:hAnsi="Arial" w:cs="Arial"/>
          <w:color w:val="000000" w:themeColor="text1"/>
        </w:rPr>
        <w:t xml:space="preserve">. </w:t>
      </w:r>
      <w:r w:rsidR="00BC0F72">
        <w:rPr>
          <w:rFonts w:ascii="Arial" w:hAnsi="Arial" w:cs="Arial"/>
          <w:color w:val="000000" w:themeColor="text1"/>
        </w:rPr>
        <w:t>TOKVS seletuskirjas on öeldud, et „</w:t>
      </w:r>
      <w:r w:rsidR="00BC0F72" w:rsidRPr="00BC0F72">
        <w:rPr>
          <w:rFonts w:ascii="Arial" w:hAnsi="Arial" w:cs="Arial"/>
          <w:i/>
          <w:iCs/>
          <w:color w:val="000000" w:themeColor="text1"/>
        </w:rPr>
        <w:t xml:space="preserve">Kindlustussumma on otseselt seotud kogu süsteemi kulukusega, mis hakkab edaspidi mõjutama </w:t>
      </w:r>
      <w:proofErr w:type="spellStart"/>
      <w:r w:rsidR="00BC0F72" w:rsidRPr="00BC0F72">
        <w:rPr>
          <w:rFonts w:ascii="Arial" w:hAnsi="Arial" w:cs="Arial"/>
          <w:i/>
          <w:iCs/>
          <w:color w:val="000000" w:themeColor="text1"/>
        </w:rPr>
        <w:t>TTO-de</w:t>
      </w:r>
      <w:proofErr w:type="spellEnd"/>
      <w:r w:rsidR="00BC0F72" w:rsidRPr="00BC0F72">
        <w:rPr>
          <w:rFonts w:ascii="Arial" w:hAnsi="Arial" w:cs="Arial"/>
          <w:i/>
          <w:iCs/>
          <w:color w:val="000000" w:themeColor="text1"/>
        </w:rPr>
        <w:t xml:space="preserve"> kindlustusmaksete suurust, kuna maksetest kujuneb vastutuskindlustuse süsteemi tulubaas</w:t>
      </w:r>
      <w:r w:rsidR="00BC0F72" w:rsidRPr="00BC0F72">
        <w:rPr>
          <w:rFonts w:ascii="Arial" w:hAnsi="Arial" w:cs="Arial"/>
          <w:color w:val="000000" w:themeColor="text1"/>
        </w:rPr>
        <w:t>.</w:t>
      </w:r>
      <w:r w:rsidR="00BC0F72">
        <w:rPr>
          <w:rFonts w:ascii="Arial" w:hAnsi="Arial" w:cs="Arial"/>
          <w:color w:val="000000" w:themeColor="text1"/>
        </w:rPr>
        <w:t>“</w:t>
      </w:r>
      <w:r w:rsidR="00BC0F72">
        <w:rPr>
          <w:rStyle w:val="FootnoteReference"/>
          <w:rFonts w:ascii="Arial" w:hAnsi="Arial" w:cs="Arial"/>
          <w:color w:val="000000" w:themeColor="text1"/>
        </w:rPr>
        <w:footnoteReference w:id="1"/>
      </w:r>
      <w:r w:rsidR="00BC0F72" w:rsidRPr="00BC0F72">
        <w:rPr>
          <w:rFonts w:ascii="Arial" w:hAnsi="Arial" w:cs="Arial"/>
          <w:color w:val="000000" w:themeColor="text1"/>
        </w:rPr>
        <w:t xml:space="preserve"> </w:t>
      </w:r>
      <w:r w:rsidR="002878BE" w:rsidRPr="00B95B5F">
        <w:rPr>
          <w:rFonts w:ascii="Arial" w:hAnsi="Arial" w:cs="Arial"/>
          <w:color w:val="000000" w:themeColor="text1"/>
        </w:rPr>
        <w:t>Kindlustuslepingu hinda määravad</w:t>
      </w:r>
      <w:r w:rsidR="00DE6E97">
        <w:rPr>
          <w:rFonts w:ascii="Arial" w:hAnsi="Arial" w:cs="Arial"/>
          <w:color w:val="000000" w:themeColor="text1"/>
        </w:rPr>
        <w:t xml:space="preserve"> TOKVS § 11 sätestatud</w:t>
      </w:r>
      <w:r w:rsidR="002878BE" w:rsidRPr="00B95B5F">
        <w:rPr>
          <w:rFonts w:ascii="Arial" w:hAnsi="Arial" w:cs="Arial"/>
          <w:color w:val="000000" w:themeColor="text1"/>
        </w:rPr>
        <w:t xml:space="preserve"> kindlustussummad</w:t>
      </w:r>
      <w:r w:rsidR="00B13221">
        <w:rPr>
          <w:rFonts w:ascii="Arial" w:hAnsi="Arial" w:cs="Arial"/>
          <w:color w:val="000000" w:themeColor="text1"/>
        </w:rPr>
        <w:t>, mis</w:t>
      </w:r>
      <w:r w:rsidR="002878BE" w:rsidRPr="00B95B5F">
        <w:rPr>
          <w:rFonts w:ascii="Arial" w:hAnsi="Arial" w:cs="Arial"/>
          <w:color w:val="000000" w:themeColor="text1"/>
        </w:rPr>
        <w:t xml:space="preserve"> </w:t>
      </w:r>
      <w:r w:rsidR="00B13221">
        <w:rPr>
          <w:rFonts w:ascii="Arial" w:hAnsi="Arial" w:cs="Arial"/>
          <w:color w:val="000000" w:themeColor="text1"/>
        </w:rPr>
        <w:t xml:space="preserve">hetkel </w:t>
      </w:r>
      <w:r w:rsidR="002878BE" w:rsidRPr="00B95B5F">
        <w:rPr>
          <w:rFonts w:ascii="Arial" w:hAnsi="Arial" w:cs="Arial"/>
          <w:color w:val="000000" w:themeColor="text1"/>
        </w:rPr>
        <w:t xml:space="preserve">kehtivad ühetaoliselt nii suurhaiglatele kui ka väikestele ravikabinettidele. </w:t>
      </w:r>
      <w:r w:rsidR="00AD7F6A">
        <w:rPr>
          <w:rFonts w:ascii="Arial" w:hAnsi="Arial" w:cs="Arial"/>
          <w:color w:val="000000" w:themeColor="text1"/>
        </w:rPr>
        <w:t xml:space="preserve">Nii sätestab TOKVS § 11 lg 2, et vastutuskindlustuse lepingu järgse aastase kindlustusperiood summa peab olema igal juhul 3 miljonit eurot. </w:t>
      </w:r>
      <w:r w:rsidR="00CF7280">
        <w:rPr>
          <w:rFonts w:ascii="Arial" w:hAnsi="Arial" w:cs="Arial"/>
          <w:color w:val="000000" w:themeColor="text1"/>
        </w:rPr>
        <w:t xml:space="preserve">Arvestades, et </w:t>
      </w:r>
      <w:r w:rsidR="00C64A34">
        <w:rPr>
          <w:rFonts w:ascii="Arial" w:hAnsi="Arial" w:cs="Arial"/>
          <w:color w:val="000000" w:themeColor="text1"/>
        </w:rPr>
        <w:t xml:space="preserve">maksimaalne </w:t>
      </w:r>
      <w:r w:rsidR="00CF7280">
        <w:rPr>
          <w:rFonts w:ascii="Arial" w:hAnsi="Arial" w:cs="Arial"/>
          <w:color w:val="000000" w:themeColor="text1"/>
        </w:rPr>
        <w:t xml:space="preserve">kindlustussumma ühe kahjujuhtumi kohta on 300 000 eurot (TOKVS § 11 lg 1 lause 1), siis järelikult katab 3 miljonit kuni 10 maksimaalse hüvitisega kindlustusjuhtumit (300 000x10=3 000 000) või veelgi suurema hulga kindlustusjuhtumeid, kus kindlustushüvitis on ühe juhtumi kohta väiksem kui 300 000 eurot. </w:t>
      </w:r>
      <w:r w:rsidR="00AD7F6A">
        <w:rPr>
          <w:rFonts w:ascii="Arial" w:hAnsi="Arial" w:cs="Arial"/>
          <w:color w:val="000000" w:themeColor="text1"/>
        </w:rPr>
        <w:t xml:space="preserve">Nii </w:t>
      </w:r>
      <w:r w:rsidR="00CF7280">
        <w:rPr>
          <w:rFonts w:ascii="Arial" w:hAnsi="Arial" w:cs="Arial"/>
          <w:color w:val="000000" w:themeColor="text1"/>
        </w:rPr>
        <w:t>kõrge</w:t>
      </w:r>
      <w:r w:rsidR="00AD7F6A">
        <w:rPr>
          <w:rFonts w:ascii="Arial" w:hAnsi="Arial" w:cs="Arial"/>
          <w:color w:val="000000" w:themeColor="text1"/>
        </w:rPr>
        <w:t xml:space="preserve"> kindlustussumma on põhjendamatu isegi suurhaiglate puhul nagu näiteks Tartu Ülikooli Kliinikum või PERH. </w:t>
      </w:r>
      <w:r w:rsidR="00CF7280">
        <w:rPr>
          <w:rFonts w:ascii="Arial" w:hAnsi="Arial" w:cs="Arial"/>
          <w:color w:val="000000" w:themeColor="text1"/>
        </w:rPr>
        <w:t>Meile teadaolevalt ei ole k</w:t>
      </w:r>
      <w:r w:rsidR="00AD7F6A">
        <w:rPr>
          <w:rFonts w:ascii="Arial" w:hAnsi="Arial" w:cs="Arial"/>
          <w:color w:val="000000" w:themeColor="text1"/>
        </w:rPr>
        <w:t xml:space="preserve">ogu taasiseseisvumise järgsel perioodil nii suurt summat aastase perioodi jooksul kahju hüvitisteks välja maksnud mitte ükski tervishoiuteenuse osutaja. </w:t>
      </w:r>
    </w:p>
    <w:p w14:paraId="0FE616AA" w14:textId="77777777" w:rsidR="00037B80" w:rsidRDefault="00037B80" w:rsidP="00186DD4">
      <w:pPr>
        <w:pStyle w:val="ListParagraph"/>
        <w:spacing w:line="276" w:lineRule="auto"/>
        <w:ind w:left="780"/>
        <w:jc w:val="both"/>
        <w:rPr>
          <w:rFonts w:ascii="Arial" w:hAnsi="Arial" w:cs="Arial"/>
          <w:b/>
          <w:bCs/>
          <w:color w:val="000000" w:themeColor="text1"/>
        </w:rPr>
      </w:pPr>
    </w:p>
    <w:p w14:paraId="4F1B3F55" w14:textId="306B58C7" w:rsidR="00622765" w:rsidRDefault="00AD7F6A" w:rsidP="00186DD4">
      <w:pPr>
        <w:pStyle w:val="ListParagraph"/>
        <w:spacing w:line="276" w:lineRule="auto"/>
        <w:ind w:left="426"/>
        <w:jc w:val="both"/>
        <w:rPr>
          <w:rFonts w:ascii="Arial" w:hAnsi="Arial" w:cs="Arial"/>
          <w:color w:val="000000" w:themeColor="text1"/>
        </w:rPr>
      </w:pPr>
      <w:r>
        <w:rPr>
          <w:rFonts w:ascii="Arial" w:hAnsi="Arial" w:cs="Arial"/>
          <w:color w:val="000000" w:themeColor="text1"/>
        </w:rPr>
        <w:t>Senise kohustusliku vastutuskindlustuse statistika alusel ei ole see</w:t>
      </w:r>
      <w:r w:rsidR="00C64A34">
        <w:rPr>
          <w:rFonts w:ascii="Arial" w:hAnsi="Arial" w:cs="Arial"/>
          <w:color w:val="000000" w:themeColor="text1"/>
        </w:rPr>
        <w:t xml:space="preserve"> risk</w:t>
      </w:r>
      <w:r>
        <w:rPr>
          <w:rFonts w:ascii="Arial" w:hAnsi="Arial" w:cs="Arial"/>
          <w:color w:val="000000" w:themeColor="text1"/>
        </w:rPr>
        <w:t xml:space="preserve"> realistlik ka peale TOKVS-i jõustumist selles sätestatud hüvitamispõhimõtete alusel. </w:t>
      </w:r>
      <w:r w:rsidR="00CF7280">
        <w:rPr>
          <w:rFonts w:ascii="Arial" w:hAnsi="Arial" w:cs="Arial"/>
          <w:color w:val="000000" w:themeColor="text1"/>
        </w:rPr>
        <w:t xml:space="preserve">Enamike kindlustusjuhtumite puhul ei ületa hüvitis tervishoiuteenuse osutaja omavastutuse summatki. </w:t>
      </w:r>
      <w:r w:rsidR="00037B80">
        <w:rPr>
          <w:rFonts w:ascii="Arial" w:hAnsi="Arial" w:cs="Arial"/>
          <w:color w:val="000000" w:themeColor="text1"/>
        </w:rPr>
        <w:t xml:space="preserve">Esimese üheksa kuu jooksul oli PZU poolt välja makstud suurima hüvitise summa </w:t>
      </w:r>
      <w:r w:rsidR="00037B80" w:rsidRPr="00037B80">
        <w:rPr>
          <w:rFonts w:ascii="Arial" w:hAnsi="Arial" w:cs="Arial"/>
          <w:color w:val="000000" w:themeColor="text1"/>
        </w:rPr>
        <w:t>13 570 eurot</w:t>
      </w:r>
      <w:r w:rsidR="00037B80">
        <w:rPr>
          <w:rFonts w:ascii="Arial" w:hAnsi="Arial" w:cs="Arial"/>
          <w:color w:val="000000" w:themeColor="text1"/>
        </w:rPr>
        <w:t xml:space="preserve"> ja keskmiselt oli väljamakstud hüvitise suurus </w:t>
      </w:r>
      <w:r w:rsidR="00037B80" w:rsidRPr="00037B80">
        <w:rPr>
          <w:rFonts w:ascii="Arial" w:hAnsi="Arial" w:cs="Arial"/>
          <w:color w:val="000000" w:themeColor="text1"/>
        </w:rPr>
        <w:t>3425 eurot.</w:t>
      </w:r>
      <w:r w:rsidR="00E05462">
        <w:rPr>
          <w:rStyle w:val="FootnoteReference"/>
          <w:rFonts w:ascii="Arial" w:hAnsi="Arial" w:cs="Arial"/>
          <w:color w:val="000000" w:themeColor="text1"/>
        </w:rPr>
        <w:footnoteReference w:id="2"/>
      </w:r>
      <w:r w:rsidR="00037B80" w:rsidRPr="00037B80">
        <w:rPr>
          <w:rFonts w:ascii="Arial" w:hAnsi="Arial" w:cs="Arial"/>
          <w:color w:val="000000" w:themeColor="text1"/>
        </w:rPr>
        <w:t xml:space="preserve"> </w:t>
      </w:r>
      <w:r w:rsidR="00CA1B06">
        <w:rPr>
          <w:rFonts w:ascii="Arial" w:hAnsi="Arial" w:cs="Arial"/>
          <w:color w:val="000000" w:themeColor="text1"/>
        </w:rPr>
        <w:t xml:space="preserve">Selle statistika taustal on </w:t>
      </w:r>
      <w:r w:rsidR="00CF7280">
        <w:rPr>
          <w:rFonts w:ascii="Arial" w:hAnsi="Arial" w:cs="Arial"/>
          <w:color w:val="000000" w:themeColor="text1"/>
        </w:rPr>
        <w:t>3 miljoni euro suurune kindlustus</w:t>
      </w:r>
      <w:r w:rsidR="005324F1">
        <w:rPr>
          <w:rFonts w:ascii="Arial" w:hAnsi="Arial" w:cs="Arial"/>
          <w:color w:val="000000" w:themeColor="text1"/>
        </w:rPr>
        <w:t>summa aga väiksemate kliinikute puhul, kes tegelevad aastase perioodi jooksul vähemate ravijuhtudega kui suurhaiglad</w:t>
      </w:r>
      <w:r w:rsidR="00CA1B06">
        <w:rPr>
          <w:rFonts w:ascii="Arial" w:hAnsi="Arial" w:cs="Arial"/>
          <w:color w:val="000000" w:themeColor="text1"/>
        </w:rPr>
        <w:t>, täiesti ebareaalne</w:t>
      </w:r>
      <w:r w:rsidR="005324F1">
        <w:rPr>
          <w:rFonts w:ascii="Arial" w:hAnsi="Arial" w:cs="Arial"/>
          <w:color w:val="000000" w:themeColor="text1"/>
        </w:rPr>
        <w:t xml:space="preserve">. </w:t>
      </w:r>
      <w:r w:rsidR="00114BE6">
        <w:rPr>
          <w:rFonts w:ascii="Arial" w:hAnsi="Arial" w:cs="Arial"/>
          <w:color w:val="000000" w:themeColor="text1"/>
        </w:rPr>
        <w:t>Vastutuskindlustuse lepingu maksimaalne k</w:t>
      </w:r>
      <w:r w:rsidR="005324F1">
        <w:rPr>
          <w:rFonts w:ascii="Arial" w:hAnsi="Arial" w:cs="Arial"/>
          <w:color w:val="000000" w:themeColor="text1"/>
        </w:rPr>
        <w:t>indlustussumma peaks olema igal juhul proportsioonis kindlustatava riskiga</w:t>
      </w:r>
      <w:r w:rsidR="00EE299E">
        <w:rPr>
          <w:rFonts w:ascii="Arial" w:hAnsi="Arial" w:cs="Arial"/>
          <w:color w:val="000000" w:themeColor="text1"/>
        </w:rPr>
        <w:t xml:space="preserve"> ja see risk ei ole enamike tervishoiuteenuse osutajate puhul 3 miljonit </w:t>
      </w:r>
      <w:r w:rsidR="00C64A34">
        <w:rPr>
          <w:rFonts w:ascii="Arial" w:hAnsi="Arial" w:cs="Arial"/>
          <w:color w:val="000000" w:themeColor="text1"/>
        </w:rPr>
        <w:t xml:space="preserve">eurot </w:t>
      </w:r>
      <w:r w:rsidR="00EE299E">
        <w:rPr>
          <w:rFonts w:ascii="Arial" w:hAnsi="Arial" w:cs="Arial"/>
          <w:color w:val="000000" w:themeColor="text1"/>
        </w:rPr>
        <w:t xml:space="preserve">ka kõige mustema stsenaariumi korral. </w:t>
      </w:r>
    </w:p>
    <w:p w14:paraId="69F6FBCB" w14:textId="77777777" w:rsidR="00622765" w:rsidRDefault="00622765" w:rsidP="00186DD4">
      <w:pPr>
        <w:pStyle w:val="ListParagraph"/>
        <w:spacing w:line="276" w:lineRule="auto"/>
        <w:ind w:left="780"/>
        <w:jc w:val="both"/>
        <w:rPr>
          <w:rFonts w:ascii="Arial" w:hAnsi="Arial" w:cs="Arial"/>
          <w:b/>
          <w:bCs/>
          <w:color w:val="000000" w:themeColor="text1"/>
        </w:rPr>
      </w:pPr>
    </w:p>
    <w:p w14:paraId="2BA63D34" w14:textId="61BB5AA9" w:rsidR="007B01DD" w:rsidRDefault="00EE299E" w:rsidP="00186DD4">
      <w:pPr>
        <w:pStyle w:val="ListParagraph"/>
        <w:spacing w:line="276" w:lineRule="auto"/>
        <w:ind w:left="426"/>
        <w:jc w:val="both"/>
        <w:rPr>
          <w:rFonts w:ascii="Arial" w:hAnsi="Arial" w:cs="Arial"/>
          <w:color w:val="000000" w:themeColor="text1"/>
        </w:rPr>
      </w:pPr>
      <w:r>
        <w:rPr>
          <w:rFonts w:ascii="Arial" w:hAnsi="Arial" w:cs="Arial"/>
          <w:color w:val="000000" w:themeColor="text1"/>
        </w:rPr>
        <w:t xml:space="preserve">TOKVS § 11 lg 1 lause 1 kohaselt on </w:t>
      </w:r>
      <w:r w:rsidR="007B01DD">
        <w:rPr>
          <w:rFonts w:ascii="Arial" w:hAnsi="Arial" w:cs="Arial"/>
          <w:color w:val="000000" w:themeColor="text1"/>
        </w:rPr>
        <w:t>k</w:t>
      </w:r>
      <w:r w:rsidR="007B01DD" w:rsidRPr="007B01DD">
        <w:rPr>
          <w:rFonts w:ascii="Arial" w:hAnsi="Arial" w:cs="Arial"/>
          <w:color w:val="000000" w:themeColor="text1"/>
        </w:rPr>
        <w:t xml:space="preserve">indlustussumma </w:t>
      </w:r>
      <w:r w:rsidR="007B01DD">
        <w:rPr>
          <w:rFonts w:ascii="Arial" w:hAnsi="Arial" w:cs="Arial"/>
          <w:color w:val="000000" w:themeColor="text1"/>
        </w:rPr>
        <w:t>ühe</w:t>
      </w:r>
      <w:r w:rsidR="007B01DD" w:rsidRPr="007B01DD">
        <w:rPr>
          <w:rFonts w:ascii="Arial" w:hAnsi="Arial" w:cs="Arial"/>
          <w:color w:val="000000" w:themeColor="text1"/>
        </w:rPr>
        <w:t xml:space="preserve"> õigustatud isiku kohta 100 000 eurot ja kindlustusjuhtumi kohta 300 000 eurot. </w:t>
      </w:r>
      <w:r w:rsidR="007B01DD">
        <w:rPr>
          <w:rFonts w:ascii="Arial" w:hAnsi="Arial" w:cs="Arial"/>
          <w:color w:val="000000" w:themeColor="text1"/>
        </w:rPr>
        <w:t xml:space="preserve">Kusjuures </w:t>
      </w:r>
      <w:r w:rsidR="007B01DD" w:rsidRPr="007B01DD">
        <w:rPr>
          <w:rFonts w:ascii="Arial" w:hAnsi="Arial" w:cs="Arial"/>
          <w:color w:val="000000" w:themeColor="text1"/>
        </w:rPr>
        <w:t> </w:t>
      </w:r>
      <w:r w:rsidR="007B01DD">
        <w:rPr>
          <w:rFonts w:ascii="Arial" w:hAnsi="Arial" w:cs="Arial"/>
          <w:color w:val="000000" w:themeColor="text1"/>
        </w:rPr>
        <w:t>m</w:t>
      </w:r>
      <w:r w:rsidR="007B01DD" w:rsidRPr="007B01DD">
        <w:rPr>
          <w:rFonts w:ascii="Arial" w:hAnsi="Arial" w:cs="Arial"/>
          <w:color w:val="000000" w:themeColor="text1"/>
        </w:rPr>
        <w:t xml:space="preserve">ittevaralise kahju kindlustussumma </w:t>
      </w:r>
      <w:r w:rsidR="007B01DD">
        <w:rPr>
          <w:rFonts w:ascii="Arial" w:hAnsi="Arial" w:cs="Arial"/>
          <w:color w:val="000000" w:themeColor="text1"/>
        </w:rPr>
        <w:t>ühe</w:t>
      </w:r>
      <w:r w:rsidR="007B01DD" w:rsidRPr="007B01DD">
        <w:rPr>
          <w:rFonts w:ascii="Arial" w:hAnsi="Arial" w:cs="Arial"/>
          <w:color w:val="000000" w:themeColor="text1"/>
        </w:rPr>
        <w:t xml:space="preserve"> õigustatud isiku kohta </w:t>
      </w:r>
      <w:r w:rsidR="007B01DD">
        <w:rPr>
          <w:rFonts w:ascii="Arial" w:hAnsi="Arial" w:cs="Arial"/>
          <w:color w:val="000000" w:themeColor="text1"/>
        </w:rPr>
        <w:t xml:space="preserve">on </w:t>
      </w:r>
      <w:r w:rsidR="007B01DD" w:rsidRPr="007B01DD">
        <w:rPr>
          <w:rFonts w:ascii="Arial" w:hAnsi="Arial" w:cs="Arial"/>
          <w:color w:val="000000" w:themeColor="text1"/>
        </w:rPr>
        <w:t>30 000 eurot ja kindlustusjuhtumi kohta 100 000 eurot. </w:t>
      </w:r>
      <w:r w:rsidR="007B01DD">
        <w:rPr>
          <w:rFonts w:ascii="Arial" w:hAnsi="Arial" w:cs="Arial"/>
          <w:color w:val="000000" w:themeColor="text1"/>
        </w:rPr>
        <w:t xml:space="preserve">Tõsi on küll see, et õigustatud isiku õigus nõuda kahju hüvitamist ei sõltu olulisel määral tervishoiuteenuse osutaja suurusest (käibest, töötajate arvust vms asjaoludest). Kahju hüvitise suurus sõltub seadusest ja kohtupraktikast tulenevalt põhjustatud tagajärjest, süü astmest, </w:t>
      </w:r>
      <w:r w:rsidR="003F139A">
        <w:rPr>
          <w:rFonts w:ascii="Arial" w:hAnsi="Arial" w:cs="Arial"/>
          <w:color w:val="000000" w:themeColor="text1"/>
        </w:rPr>
        <w:t>mittevaralise kahju puhul ka ühiskonna</w:t>
      </w:r>
      <w:r w:rsidR="005143BC">
        <w:rPr>
          <w:rFonts w:ascii="Arial" w:hAnsi="Arial" w:cs="Arial"/>
          <w:color w:val="000000" w:themeColor="text1"/>
        </w:rPr>
        <w:t xml:space="preserve"> </w:t>
      </w:r>
      <w:r w:rsidR="003F139A">
        <w:rPr>
          <w:rFonts w:ascii="Arial" w:hAnsi="Arial" w:cs="Arial"/>
          <w:color w:val="000000" w:themeColor="text1"/>
        </w:rPr>
        <w:t>heaolu tasemest ja muudest asjaoludest. Siiski tuleb arvestada, et erinevate tervishoiuteenuste</w:t>
      </w:r>
      <w:r w:rsidR="00E03AA9">
        <w:rPr>
          <w:rFonts w:ascii="Arial" w:hAnsi="Arial" w:cs="Arial"/>
          <w:color w:val="000000" w:themeColor="text1"/>
        </w:rPr>
        <w:t xml:space="preserve"> osutamisega seonduvad erineva suurusega riskid, mida peaks samuti olema võimalik vastutuse kindlustamise puhul arvestada. Näiteks hambaravi puhul on kindlustusjuhtumi, kus oleks põhjendatud kindlustushüvitiseks </w:t>
      </w:r>
      <w:r w:rsidR="005143BC">
        <w:rPr>
          <w:rFonts w:ascii="Arial" w:hAnsi="Arial" w:cs="Arial"/>
          <w:color w:val="000000" w:themeColor="text1"/>
        </w:rPr>
        <w:t xml:space="preserve">patsiendile </w:t>
      </w:r>
      <w:r w:rsidR="00E03AA9">
        <w:rPr>
          <w:rFonts w:ascii="Arial" w:hAnsi="Arial" w:cs="Arial"/>
          <w:color w:val="000000" w:themeColor="text1"/>
        </w:rPr>
        <w:t xml:space="preserve">100 000 eurot (mittevaraline kahju 30 000 eurot), põhjustamise tõenäosus olematu. Mida kinnitab ka fakt, et seni ei ole selliseid juhtumeid Eestis </w:t>
      </w:r>
      <w:r w:rsidR="00037B80">
        <w:rPr>
          <w:rFonts w:ascii="Arial" w:hAnsi="Arial" w:cs="Arial"/>
          <w:color w:val="000000" w:themeColor="text1"/>
        </w:rPr>
        <w:t xml:space="preserve">meile teadaolevalt </w:t>
      </w:r>
      <w:r w:rsidR="00E03AA9">
        <w:rPr>
          <w:rFonts w:ascii="Arial" w:hAnsi="Arial" w:cs="Arial"/>
          <w:color w:val="000000" w:themeColor="text1"/>
        </w:rPr>
        <w:t xml:space="preserve">esinenud. Samas näiteks </w:t>
      </w:r>
      <w:r w:rsidR="00277E27">
        <w:rPr>
          <w:rFonts w:ascii="Arial" w:hAnsi="Arial" w:cs="Arial"/>
          <w:color w:val="000000" w:themeColor="text1"/>
        </w:rPr>
        <w:t>suurhaiglates</w:t>
      </w:r>
      <w:r w:rsidR="00E03AA9">
        <w:rPr>
          <w:rFonts w:ascii="Arial" w:hAnsi="Arial" w:cs="Arial"/>
          <w:color w:val="000000" w:themeColor="text1"/>
        </w:rPr>
        <w:t xml:space="preserve"> on selliste juhtumite aset leidm</w:t>
      </w:r>
      <w:r w:rsidR="005143BC">
        <w:rPr>
          <w:rFonts w:ascii="Arial" w:hAnsi="Arial" w:cs="Arial"/>
          <w:color w:val="000000" w:themeColor="text1"/>
        </w:rPr>
        <w:t>ine</w:t>
      </w:r>
      <w:r w:rsidR="00E03AA9">
        <w:rPr>
          <w:rFonts w:ascii="Arial" w:hAnsi="Arial" w:cs="Arial"/>
          <w:color w:val="000000" w:themeColor="text1"/>
        </w:rPr>
        <w:t xml:space="preserve"> täiesti rea</w:t>
      </w:r>
      <w:r w:rsidR="005143BC">
        <w:rPr>
          <w:rFonts w:ascii="Arial" w:hAnsi="Arial" w:cs="Arial"/>
          <w:color w:val="000000" w:themeColor="text1"/>
        </w:rPr>
        <w:t>alne</w:t>
      </w:r>
      <w:r w:rsidR="00E03AA9">
        <w:rPr>
          <w:rFonts w:ascii="Arial" w:hAnsi="Arial" w:cs="Arial"/>
          <w:color w:val="000000" w:themeColor="text1"/>
        </w:rPr>
        <w:t xml:space="preserve">. </w:t>
      </w:r>
      <w:r w:rsidR="00AF516D">
        <w:rPr>
          <w:rFonts w:ascii="Arial" w:hAnsi="Arial" w:cs="Arial"/>
          <w:color w:val="000000" w:themeColor="text1"/>
        </w:rPr>
        <w:t>Seega praeguse regulatsiooni p</w:t>
      </w:r>
      <w:r w:rsidR="00AF516D" w:rsidRPr="00AF516D">
        <w:rPr>
          <w:rFonts w:ascii="Arial" w:hAnsi="Arial" w:cs="Arial"/>
          <w:color w:val="000000" w:themeColor="text1"/>
        </w:rPr>
        <w:t>robleem seisneb selles, et piirmäärade puhul on arvesse võetud haiglate väljamakseid, ent väikestes</w:t>
      </w:r>
      <w:r w:rsidR="00A87C69">
        <w:rPr>
          <w:rFonts w:ascii="Arial" w:hAnsi="Arial" w:cs="Arial"/>
          <w:color w:val="000000" w:themeColor="text1"/>
        </w:rPr>
        <w:t>, madala riskiga</w:t>
      </w:r>
      <w:r w:rsidR="00AF516D" w:rsidRPr="00AF516D">
        <w:rPr>
          <w:rFonts w:ascii="Arial" w:hAnsi="Arial" w:cs="Arial"/>
          <w:color w:val="000000" w:themeColor="text1"/>
        </w:rPr>
        <w:t xml:space="preserve"> raviasutustes taolisi väljamakseid pole kunagi tehtud ega hakata ka tegema.</w:t>
      </w:r>
    </w:p>
    <w:p w14:paraId="7594B305" w14:textId="77777777" w:rsidR="007B01DD" w:rsidRDefault="007B01DD" w:rsidP="00186DD4">
      <w:pPr>
        <w:pStyle w:val="ListParagraph"/>
        <w:spacing w:line="276" w:lineRule="auto"/>
        <w:ind w:left="780"/>
        <w:jc w:val="both"/>
        <w:rPr>
          <w:rFonts w:ascii="Arial" w:hAnsi="Arial" w:cs="Arial"/>
          <w:color w:val="000000" w:themeColor="text1"/>
        </w:rPr>
      </w:pPr>
    </w:p>
    <w:p w14:paraId="6B35699E" w14:textId="6DD0A0F2" w:rsidR="00136291" w:rsidRDefault="001C6E99" w:rsidP="00186DD4">
      <w:pPr>
        <w:pStyle w:val="ListParagraph"/>
        <w:spacing w:line="276" w:lineRule="auto"/>
        <w:ind w:left="426"/>
        <w:jc w:val="both"/>
        <w:rPr>
          <w:rFonts w:ascii="Arial" w:hAnsi="Arial" w:cs="Arial"/>
          <w:color w:val="000000" w:themeColor="text1"/>
        </w:rPr>
      </w:pPr>
      <w:r>
        <w:rPr>
          <w:rFonts w:ascii="Arial" w:hAnsi="Arial" w:cs="Arial"/>
          <w:color w:val="000000" w:themeColor="text1"/>
        </w:rPr>
        <w:t xml:space="preserve">Eeltoodust tulenevalt on </w:t>
      </w:r>
      <w:r w:rsidR="002878BE" w:rsidRPr="00B95B5F">
        <w:rPr>
          <w:rFonts w:ascii="Arial" w:hAnsi="Arial" w:cs="Arial"/>
          <w:color w:val="000000" w:themeColor="text1"/>
        </w:rPr>
        <w:t xml:space="preserve">selge, et </w:t>
      </w:r>
      <w:r w:rsidR="007369A6">
        <w:rPr>
          <w:rFonts w:ascii="Arial" w:hAnsi="Arial" w:cs="Arial"/>
          <w:color w:val="000000" w:themeColor="text1"/>
        </w:rPr>
        <w:t>erinevate</w:t>
      </w:r>
      <w:r w:rsidR="002878BE" w:rsidRPr="00B95B5F">
        <w:rPr>
          <w:rFonts w:ascii="Arial" w:hAnsi="Arial" w:cs="Arial"/>
          <w:color w:val="000000" w:themeColor="text1"/>
        </w:rPr>
        <w:t xml:space="preserve"> tervishoiuteenuse osutajate riskid </w:t>
      </w:r>
      <w:r w:rsidR="00346CD8">
        <w:rPr>
          <w:rFonts w:ascii="Arial" w:hAnsi="Arial" w:cs="Arial"/>
          <w:color w:val="000000" w:themeColor="text1"/>
        </w:rPr>
        <w:t xml:space="preserve">patsiendikahju tekkeks </w:t>
      </w:r>
      <w:r w:rsidR="002878BE" w:rsidRPr="00B95B5F">
        <w:rPr>
          <w:rFonts w:ascii="Arial" w:hAnsi="Arial" w:cs="Arial"/>
          <w:color w:val="000000" w:themeColor="text1"/>
        </w:rPr>
        <w:t>on diametraalselt erinevad</w:t>
      </w:r>
      <w:r w:rsidR="006D45A6" w:rsidRPr="00B95B5F">
        <w:rPr>
          <w:rFonts w:ascii="Arial" w:hAnsi="Arial" w:cs="Arial"/>
          <w:color w:val="000000" w:themeColor="text1"/>
        </w:rPr>
        <w:t xml:space="preserve">, mistõttu peaks olema </w:t>
      </w:r>
      <w:r w:rsidR="00F323EB">
        <w:rPr>
          <w:rFonts w:ascii="Arial" w:hAnsi="Arial" w:cs="Arial"/>
          <w:color w:val="000000" w:themeColor="text1"/>
        </w:rPr>
        <w:t xml:space="preserve">rohkem paindlikkust ja </w:t>
      </w:r>
      <w:r w:rsidR="006D45A6" w:rsidRPr="00B95B5F">
        <w:rPr>
          <w:rFonts w:ascii="Arial" w:hAnsi="Arial" w:cs="Arial"/>
          <w:color w:val="000000" w:themeColor="text1"/>
        </w:rPr>
        <w:t xml:space="preserve">kindlustusvõtjal </w:t>
      </w:r>
      <w:r w:rsidR="00F323EB">
        <w:rPr>
          <w:rFonts w:ascii="Arial" w:hAnsi="Arial" w:cs="Arial"/>
          <w:color w:val="000000" w:themeColor="text1"/>
        </w:rPr>
        <w:t xml:space="preserve">peaks olema </w:t>
      </w:r>
      <w:r w:rsidR="006D45A6" w:rsidRPr="00B95B5F">
        <w:rPr>
          <w:rFonts w:ascii="Arial" w:hAnsi="Arial" w:cs="Arial"/>
          <w:color w:val="000000" w:themeColor="text1"/>
        </w:rPr>
        <w:t>võimalik ise oma riske hinnata ning kindlustussummat määrata.</w:t>
      </w:r>
      <w:r w:rsidR="00BC0F72">
        <w:rPr>
          <w:rFonts w:ascii="Arial" w:hAnsi="Arial" w:cs="Arial"/>
          <w:color w:val="000000" w:themeColor="text1"/>
        </w:rPr>
        <w:t xml:space="preserve"> Kuna  </w:t>
      </w:r>
      <w:r w:rsidR="00BC0F72" w:rsidRPr="00BC0F72">
        <w:rPr>
          <w:rFonts w:ascii="Arial" w:hAnsi="Arial" w:cs="Arial"/>
          <w:color w:val="000000" w:themeColor="text1"/>
        </w:rPr>
        <w:t>kindlustussummat ületavas osas tuleb nõue esitada</w:t>
      </w:r>
      <w:r w:rsidR="00BC0F72">
        <w:rPr>
          <w:rFonts w:ascii="Arial" w:hAnsi="Arial" w:cs="Arial"/>
          <w:color w:val="000000" w:themeColor="text1"/>
        </w:rPr>
        <w:t xml:space="preserve"> </w:t>
      </w:r>
      <w:r w:rsidR="00AF516D">
        <w:rPr>
          <w:rFonts w:ascii="Arial" w:hAnsi="Arial" w:cs="Arial"/>
          <w:color w:val="000000" w:themeColor="text1"/>
        </w:rPr>
        <w:t>niikuinii</w:t>
      </w:r>
      <w:r w:rsidR="00BC0F72" w:rsidRPr="00BC0F72">
        <w:rPr>
          <w:rFonts w:ascii="Arial" w:hAnsi="Arial" w:cs="Arial"/>
          <w:color w:val="000000" w:themeColor="text1"/>
        </w:rPr>
        <w:t xml:space="preserve"> </w:t>
      </w:r>
      <w:r w:rsidR="00346CD8">
        <w:rPr>
          <w:rFonts w:ascii="Arial" w:hAnsi="Arial" w:cs="Arial"/>
          <w:color w:val="000000" w:themeColor="text1"/>
        </w:rPr>
        <w:t>tervishoiuteenuse osutajale, siis ei saa tekkida ka olukord</w:t>
      </w:r>
      <w:r w:rsidR="00AF516D">
        <w:rPr>
          <w:rFonts w:ascii="Arial" w:hAnsi="Arial" w:cs="Arial"/>
          <w:color w:val="000000" w:themeColor="text1"/>
        </w:rPr>
        <w:t>a</w:t>
      </w:r>
      <w:r w:rsidR="00346CD8">
        <w:rPr>
          <w:rFonts w:ascii="Arial" w:hAnsi="Arial" w:cs="Arial"/>
          <w:color w:val="000000" w:themeColor="text1"/>
        </w:rPr>
        <w:t>, kus alakindlustatuse tõttu jääb patsient hüvitiseta</w:t>
      </w:r>
      <w:r w:rsidR="00BC0F72">
        <w:rPr>
          <w:rFonts w:ascii="Arial" w:hAnsi="Arial" w:cs="Arial"/>
          <w:color w:val="000000" w:themeColor="text1"/>
        </w:rPr>
        <w:t>.</w:t>
      </w:r>
      <w:r w:rsidR="00CA2E41">
        <w:rPr>
          <w:rFonts w:ascii="Arial" w:hAnsi="Arial" w:cs="Arial"/>
          <w:color w:val="000000" w:themeColor="text1"/>
        </w:rPr>
        <w:t xml:space="preserve"> Lisaks on ka õige ja õiglane, et need tervishoiuteenuse osutajad, kelle kindlustushüvitiste väljamaksed on kõrgemad või sagedasemad, finantseerivad süsteemi suuremas ulatuses kui need, kellele see süsteem märgatavat </w:t>
      </w:r>
      <w:r w:rsidR="00DC51C0">
        <w:rPr>
          <w:rFonts w:ascii="Arial" w:hAnsi="Arial" w:cs="Arial"/>
          <w:color w:val="000000" w:themeColor="text1"/>
        </w:rPr>
        <w:t>positiivset efekti</w:t>
      </w:r>
      <w:r w:rsidR="00CA2E41">
        <w:rPr>
          <w:rFonts w:ascii="Arial" w:hAnsi="Arial" w:cs="Arial"/>
          <w:color w:val="000000" w:themeColor="text1"/>
        </w:rPr>
        <w:t xml:space="preserve"> ei too. </w:t>
      </w:r>
    </w:p>
    <w:p w14:paraId="07466C4D" w14:textId="77777777" w:rsidR="00136291" w:rsidRDefault="00136291" w:rsidP="00186DD4">
      <w:pPr>
        <w:pStyle w:val="ListParagraph"/>
        <w:spacing w:line="276" w:lineRule="auto"/>
        <w:ind w:left="426"/>
        <w:jc w:val="both"/>
        <w:rPr>
          <w:rFonts w:ascii="Arial" w:hAnsi="Arial" w:cs="Arial"/>
          <w:color w:val="000000" w:themeColor="text1"/>
        </w:rPr>
      </w:pPr>
    </w:p>
    <w:p w14:paraId="13C74523" w14:textId="77777777" w:rsidR="00277E27" w:rsidRDefault="00136291" w:rsidP="00186DD4">
      <w:pPr>
        <w:pStyle w:val="ListParagraph"/>
        <w:spacing w:line="276" w:lineRule="auto"/>
        <w:ind w:left="426"/>
        <w:jc w:val="both"/>
        <w:rPr>
          <w:rFonts w:ascii="Arial" w:hAnsi="Arial" w:cs="Arial"/>
          <w:color w:val="000000" w:themeColor="text1"/>
        </w:rPr>
      </w:pPr>
      <w:r>
        <w:rPr>
          <w:rFonts w:ascii="Arial" w:hAnsi="Arial" w:cs="Arial"/>
          <w:color w:val="000000" w:themeColor="text1"/>
        </w:rPr>
        <w:t>K</w:t>
      </w:r>
      <w:r w:rsidRPr="00136291">
        <w:rPr>
          <w:rFonts w:ascii="Arial" w:hAnsi="Arial" w:cs="Arial"/>
          <w:color w:val="000000" w:themeColor="text1"/>
        </w:rPr>
        <w:t xml:space="preserve">indlustussummadega seonduvad </w:t>
      </w:r>
      <w:r>
        <w:rPr>
          <w:rFonts w:ascii="Arial" w:hAnsi="Arial" w:cs="Arial"/>
          <w:color w:val="000000" w:themeColor="text1"/>
        </w:rPr>
        <w:t xml:space="preserve">muudatused seaduses aitaksid muuhulgas kaasa kindlustuse hinna mõistlikule tasemele toomisel. Kuigi </w:t>
      </w:r>
      <w:r w:rsidR="004F7286">
        <w:rPr>
          <w:rFonts w:ascii="Arial" w:hAnsi="Arial" w:cs="Arial"/>
          <w:color w:val="000000" w:themeColor="text1"/>
        </w:rPr>
        <w:t>PZU-</w:t>
      </w:r>
      <w:proofErr w:type="spellStart"/>
      <w:r w:rsidR="004F7286">
        <w:rPr>
          <w:rFonts w:ascii="Arial" w:hAnsi="Arial" w:cs="Arial"/>
          <w:color w:val="000000" w:themeColor="text1"/>
        </w:rPr>
        <w:t>le</w:t>
      </w:r>
      <w:proofErr w:type="spellEnd"/>
      <w:r w:rsidR="004F7286">
        <w:rPr>
          <w:rFonts w:ascii="Arial" w:hAnsi="Arial" w:cs="Arial"/>
          <w:color w:val="000000" w:themeColor="text1"/>
        </w:rPr>
        <w:t xml:space="preserve"> lisaks</w:t>
      </w:r>
      <w:r>
        <w:rPr>
          <w:rFonts w:ascii="Arial" w:hAnsi="Arial" w:cs="Arial"/>
          <w:color w:val="000000" w:themeColor="text1"/>
        </w:rPr>
        <w:t xml:space="preserve"> on lisandunud teine kindlustusandja, kes pakub tervishoiuteenuse osutaja kohustuslikku vastutuskindlustust oluliselt soodsamalt, on ka kindlustuse tingimused </w:t>
      </w:r>
      <w:proofErr w:type="spellStart"/>
      <w:r>
        <w:rPr>
          <w:rFonts w:ascii="Arial" w:hAnsi="Arial" w:cs="Arial"/>
          <w:color w:val="000000" w:themeColor="text1"/>
        </w:rPr>
        <w:t>TTO-de</w:t>
      </w:r>
      <w:proofErr w:type="spellEnd"/>
      <w:r>
        <w:rPr>
          <w:rFonts w:ascii="Arial" w:hAnsi="Arial" w:cs="Arial"/>
          <w:color w:val="000000" w:themeColor="text1"/>
        </w:rPr>
        <w:t xml:space="preserve"> jaoks mõnevõrra erinevad. </w:t>
      </w:r>
      <w:r w:rsidR="004F7286">
        <w:rPr>
          <w:rFonts w:ascii="Arial" w:hAnsi="Arial" w:cs="Arial"/>
          <w:color w:val="000000" w:themeColor="text1"/>
        </w:rPr>
        <w:t xml:space="preserve">Kuna hinnavahe on väga suur ja teise pakkuja puhul on makstav hind ja saadav hüve paremas proportsioonis, siis paljud valivadki ainult hinna alusel odavama pakkumise. </w:t>
      </w:r>
      <w:r>
        <w:rPr>
          <w:rFonts w:ascii="Arial" w:hAnsi="Arial" w:cs="Arial"/>
          <w:color w:val="000000" w:themeColor="text1"/>
        </w:rPr>
        <w:t xml:space="preserve">Mõistlikum oleks </w:t>
      </w:r>
      <w:r w:rsidR="004F7286">
        <w:rPr>
          <w:rFonts w:ascii="Arial" w:hAnsi="Arial" w:cs="Arial"/>
          <w:color w:val="000000" w:themeColor="text1"/>
        </w:rPr>
        <w:t>tasakaalustada praegust olukorda selle kaudu, et kindlustada reaalse</w:t>
      </w:r>
      <w:r w:rsidR="00924095">
        <w:rPr>
          <w:rFonts w:ascii="Arial" w:hAnsi="Arial" w:cs="Arial"/>
          <w:color w:val="000000" w:themeColor="text1"/>
        </w:rPr>
        <w:t>id</w:t>
      </w:r>
      <w:r w:rsidR="004F7286">
        <w:rPr>
          <w:rFonts w:ascii="Arial" w:hAnsi="Arial" w:cs="Arial"/>
          <w:color w:val="000000" w:themeColor="text1"/>
        </w:rPr>
        <w:t xml:space="preserve"> riske, mitte ülepaisutatud riske.</w:t>
      </w:r>
    </w:p>
    <w:p w14:paraId="702AEC9E" w14:textId="77777777" w:rsidR="00277E27" w:rsidRDefault="00277E27" w:rsidP="00186DD4">
      <w:pPr>
        <w:pStyle w:val="ListParagraph"/>
        <w:spacing w:line="276" w:lineRule="auto"/>
        <w:jc w:val="both"/>
        <w:rPr>
          <w:rFonts w:ascii="Arial" w:hAnsi="Arial" w:cs="Arial"/>
          <w:color w:val="000000" w:themeColor="text1"/>
        </w:rPr>
      </w:pPr>
    </w:p>
    <w:p w14:paraId="67F6714F" w14:textId="2C970079" w:rsidR="00BC0F72" w:rsidRPr="00277E27" w:rsidRDefault="00DE6E97" w:rsidP="00186DD4">
      <w:pPr>
        <w:pStyle w:val="ListParagraph"/>
        <w:spacing w:line="276" w:lineRule="auto"/>
        <w:ind w:left="426"/>
        <w:jc w:val="both"/>
        <w:rPr>
          <w:rFonts w:ascii="Arial" w:hAnsi="Arial" w:cs="Arial"/>
          <w:color w:val="000000" w:themeColor="text1"/>
        </w:rPr>
      </w:pPr>
      <w:r w:rsidRPr="00277E27">
        <w:rPr>
          <w:rFonts w:ascii="Arial" w:hAnsi="Arial" w:cs="Arial"/>
          <w:color w:val="000000" w:themeColor="text1"/>
        </w:rPr>
        <w:t xml:space="preserve">Eeltoodust tulenevalt teeme järgmised ettepanekud TOKVS muutmiseks: </w:t>
      </w:r>
    </w:p>
    <w:p w14:paraId="61F96808" w14:textId="77777777" w:rsidR="00DE6E97" w:rsidRDefault="00DE6E97" w:rsidP="00186DD4">
      <w:pPr>
        <w:pStyle w:val="ListParagraph"/>
        <w:spacing w:line="276" w:lineRule="auto"/>
        <w:ind w:left="1211"/>
        <w:jc w:val="both"/>
        <w:rPr>
          <w:rFonts w:ascii="Arial" w:hAnsi="Arial" w:cs="Arial"/>
          <w:color w:val="000000" w:themeColor="text1"/>
        </w:rPr>
      </w:pPr>
    </w:p>
    <w:p w14:paraId="27D1575F" w14:textId="770676BF" w:rsidR="00E61BFC" w:rsidRPr="00277E27" w:rsidRDefault="00EE14AA" w:rsidP="00186DD4">
      <w:pPr>
        <w:pStyle w:val="ListParagraph"/>
        <w:numPr>
          <w:ilvl w:val="0"/>
          <w:numId w:val="26"/>
        </w:numPr>
        <w:spacing w:line="276" w:lineRule="auto"/>
        <w:ind w:left="851"/>
        <w:jc w:val="both"/>
        <w:rPr>
          <w:rFonts w:ascii="Arial" w:hAnsi="Arial" w:cs="Arial"/>
          <w:color w:val="000000" w:themeColor="text1"/>
        </w:rPr>
      </w:pPr>
      <w:r w:rsidRPr="00277E27">
        <w:rPr>
          <w:rFonts w:ascii="Arial" w:hAnsi="Arial" w:cs="Arial"/>
          <w:color w:val="000000" w:themeColor="text1"/>
        </w:rPr>
        <w:t xml:space="preserve">Muuta TOKVS § 11 lg 1 </w:t>
      </w:r>
      <w:r w:rsidR="00D240B4" w:rsidRPr="00277E27">
        <w:rPr>
          <w:rFonts w:ascii="Arial" w:hAnsi="Arial" w:cs="Arial"/>
          <w:color w:val="000000" w:themeColor="text1"/>
        </w:rPr>
        <w:t xml:space="preserve">esimese lause </w:t>
      </w:r>
      <w:r w:rsidR="002878BE" w:rsidRPr="00277E27">
        <w:rPr>
          <w:rFonts w:ascii="Arial" w:hAnsi="Arial" w:cs="Arial"/>
          <w:color w:val="000000" w:themeColor="text1"/>
        </w:rPr>
        <w:t>sõnastust</w:t>
      </w:r>
      <w:r w:rsidR="00B95B5F" w:rsidRPr="00277E27">
        <w:rPr>
          <w:rFonts w:ascii="Arial" w:hAnsi="Arial" w:cs="Arial"/>
          <w:color w:val="000000" w:themeColor="text1"/>
        </w:rPr>
        <w:t xml:space="preserve"> järgnevalt</w:t>
      </w:r>
      <w:r w:rsidR="00E61BFC" w:rsidRPr="00277E27">
        <w:rPr>
          <w:rFonts w:ascii="Arial" w:hAnsi="Arial" w:cs="Arial"/>
          <w:color w:val="000000" w:themeColor="text1"/>
        </w:rPr>
        <w:t xml:space="preserve"> (lisada punasega märgitud sõnad):</w:t>
      </w:r>
      <w:r w:rsidR="002878BE" w:rsidRPr="00277E27">
        <w:rPr>
          <w:rFonts w:ascii="Arial" w:hAnsi="Arial" w:cs="Arial"/>
          <w:color w:val="000000" w:themeColor="text1"/>
        </w:rPr>
        <w:t xml:space="preserve"> </w:t>
      </w:r>
    </w:p>
    <w:p w14:paraId="253D8C6B" w14:textId="3BBDB531" w:rsidR="004710FD" w:rsidRDefault="00D240B4" w:rsidP="00186DD4">
      <w:pPr>
        <w:spacing w:line="276" w:lineRule="auto"/>
        <w:ind w:left="851"/>
        <w:jc w:val="both"/>
        <w:rPr>
          <w:rFonts w:ascii="Arial" w:hAnsi="Arial" w:cs="Arial"/>
          <w:b/>
          <w:bCs/>
          <w:color w:val="000000" w:themeColor="text1"/>
        </w:rPr>
      </w:pPr>
      <w:r w:rsidRPr="00D240B4">
        <w:rPr>
          <w:rFonts w:ascii="Arial" w:hAnsi="Arial" w:cs="Arial"/>
          <w:b/>
          <w:bCs/>
          <w:color w:val="000000" w:themeColor="text1"/>
        </w:rPr>
        <w:t>Kindlustussumma</w:t>
      </w:r>
      <w:r w:rsidR="00BF40E0">
        <w:rPr>
          <w:rFonts w:ascii="Arial" w:hAnsi="Arial" w:cs="Arial"/>
          <w:b/>
          <w:bCs/>
          <w:color w:val="000000" w:themeColor="text1"/>
        </w:rPr>
        <w:t xml:space="preserve"> </w:t>
      </w:r>
      <w:r w:rsidRPr="00D240B4">
        <w:rPr>
          <w:rFonts w:ascii="Arial" w:hAnsi="Arial" w:cs="Arial"/>
          <w:b/>
          <w:bCs/>
          <w:color w:val="000000" w:themeColor="text1"/>
        </w:rPr>
        <w:t xml:space="preserve">on õigustatud isiku kohta </w:t>
      </w:r>
      <w:r w:rsidRPr="00D240B4">
        <w:rPr>
          <w:rFonts w:ascii="Arial" w:hAnsi="Arial" w:cs="Arial"/>
          <w:b/>
          <w:bCs/>
          <w:color w:val="EE0000"/>
        </w:rPr>
        <w:t xml:space="preserve">kuni </w:t>
      </w:r>
      <w:r w:rsidRPr="00D240B4">
        <w:rPr>
          <w:rFonts w:ascii="Arial" w:hAnsi="Arial" w:cs="Arial"/>
          <w:b/>
          <w:bCs/>
          <w:color w:val="000000" w:themeColor="text1"/>
        </w:rPr>
        <w:t xml:space="preserve">100 000 eurot ja kindlustusjuhtumi kohta </w:t>
      </w:r>
      <w:r w:rsidRPr="00D240B4">
        <w:rPr>
          <w:rFonts w:ascii="Arial" w:hAnsi="Arial" w:cs="Arial"/>
          <w:b/>
          <w:bCs/>
          <w:color w:val="EE0000"/>
        </w:rPr>
        <w:t xml:space="preserve">kuni </w:t>
      </w:r>
      <w:r w:rsidRPr="00D240B4">
        <w:rPr>
          <w:rFonts w:ascii="Arial" w:hAnsi="Arial" w:cs="Arial"/>
          <w:b/>
          <w:bCs/>
          <w:color w:val="000000" w:themeColor="text1"/>
        </w:rPr>
        <w:t>300 000 eurot.</w:t>
      </w:r>
    </w:p>
    <w:p w14:paraId="4552D45F" w14:textId="6ED16F0F" w:rsidR="00DE6E97" w:rsidRPr="00277E27" w:rsidRDefault="00DE6E97" w:rsidP="00186DD4">
      <w:pPr>
        <w:pStyle w:val="ListParagraph"/>
        <w:numPr>
          <w:ilvl w:val="0"/>
          <w:numId w:val="26"/>
        </w:numPr>
        <w:spacing w:line="276" w:lineRule="auto"/>
        <w:ind w:left="851"/>
        <w:jc w:val="both"/>
        <w:rPr>
          <w:rFonts w:ascii="Arial" w:hAnsi="Arial" w:cs="Arial"/>
          <w:color w:val="000000" w:themeColor="text1"/>
        </w:rPr>
      </w:pPr>
      <w:r w:rsidRPr="00277E27">
        <w:rPr>
          <w:rFonts w:ascii="Arial" w:hAnsi="Arial" w:cs="Arial"/>
          <w:color w:val="000000" w:themeColor="text1"/>
        </w:rPr>
        <w:t xml:space="preserve">Muuta TOKVS § 11 lg 1 teise lause sõnastust järgnevalt (lisada punasega märgitud sõnad): </w:t>
      </w:r>
    </w:p>
    <w:p w14:paraId="4327DA53" w14:textId="3F1845F3" w:rsidR="00DE6E97" w:rsidRPr="00DE6E97" w:rsidRDefault="00DE6E97" w:rsidP="00186DD4">
      <w:pPr>
        <w:spacing w:line="276" w:lineRule="auto"/>
        <w:ind w:left="851"/>
        <w:jc w:val="both"/>
        <w:rPr>
          <w:rFonts w:ascii="Arial" w:hAnsi="Arial" w:cs="Arial"/>
          <w:b/>
          <w:bCs/>
          <w:color w:val="000000" w:themeColor="text1"/>
        </w:rPr>
      </w:pPr>
      <w:r w:rsidRPr="00277E27">
        <w:rPr>
          <w:rFonts w:ascii="Arial" w:hAnsi="Arial" w:cs="Arial"/>
          <w:b/>
          <w:bCs/>
          <w:color w:val="000000" w:themeColor="text1"/>
        </w:rPr>
        <w:t xml:space="preserve">Kindlustussumma vastutuskindlustuslepingu järgse aastase kindlustusperioodi kohta on </w:t>
      </w:r>
      <w:r w:rsidRPr="00277E27">
        <w:rPr>
          <w:rFonts w:ascii="Arial" w:hAnsi="Arial" w:cs="Arial"/>
          <w:b/>
          <w:bCs/>
          <w:color w:val="EE0000"/>
        </w:rPr>
        <w:t>kuni</w:t>
      </w:r>
      <w:r>
        <w:rPr>
          <w:rFonts w:ascii="Arial" w:hAnsi="Arial" w:cs="Arial"/>
          <w:b/>
          <w:bCs/>
          <w:color w:val="000000" w:themeColor="text1"/>
        </w:rPr>
        <w:t xml:space="preserve"> </w:t>
      </w:r>
      <w:r w:rsidRPr="00277E27">
        <w:rPr>
          <w:rFonts w:ascii="Arial" w:hAnsi="Arial" w:cs="Arial"/>
          <w:b/>
          <w:bCs/>
          <w:color w:val="000000" w:themeColor="text1"/>
        </w:rPr>
        <w:t>3</w:t>
      </w:r>
      <w:r w:rsidR="00BF40E0">
        <w:rPr>
          <w:rFonts w:ascii="Arial" w:hAnsi="Arial" w:cs="Arial"/>
          <w:b/>
          <w:bCs/>
          <w:color w:val="000000" w:themeColor="text1"/>
        </w:rPr>
        <w:t xml:space="preserve"> </w:t>
      </w:r>
      <w:r w:rsidRPr="00277E27">
        <w:rPr>
          <w:rFonts w:ascii="Arial" w:hAnsi="Arial" w:cs="Arial"/>
          <w:b/>
          <w:bCs/>
          <w:color w:val="000000" w:themeColor="text1"/>
        </w:rPr>
        <w:t>000</w:t>
      </w:r>
      <w:r w:rsidR="00BF40E0">
        <w:rPr>
          <w:rFonts w:ascii="Arial" w:hAnsi="Arial" w:cs="Arial"/>
          <w:b/>
          <w:bCs/>
          <w:color w:val="000000" w:themeColor="text1"/>
        </w:rPr>
        <w:t xml:space="preserve"> </w:t>
      </w:r>
      <w:r w:rsidRPr="00277E27">
        <w:rPr>
          <w:rFonts w:ascii="Arial" w:hAnsi="Arial" w:cs="Arial"/>
          <w:b/>
          <w:bCs/>
          <w:color w:val="000000" w:themeColor="text1"/>
        </w:rPr>
        <w:t>000</w:t>
      </w:r>
      <w:r w:rsidR="00BF40E0">
        <w:rPr>
          <w:rFonts w:ascii="Arial" w:hAnsi="Arial" w:cs="Arial"/>
          <w:b/>
          <w:bCs/>
          <w:color w:val="000000" w:themeColor="text1"/>
        </w:rPr>
        <w:t xml:space="preserve"> </w:t>
      </w:r>
      <w:r w:rsidRPr="00277E27">
        <w:rPr>
          <w:rFonts w:ascii="Arial" w:hAnsi="Arial" w:cs="Arial"/>
          <w:b/>
          <w:bCs/>
          <w:color w:val="000000" w:themeColor="text1"/>
        </w:rPr>
        <w:t>eurot.</w:t>
      </w:r>
    </w:p>
    <w:p w14:paraId="3811BD43" w14:textId="77D61D68" w:rsidR="00E61BFC" w:rsidRPr="00277E27" w:rsidRDefault="00D240B4" w:rsidP="00186DD4">
      <w:pPr>
        <w:pStyle w:val="ListParagraph"/>
        <w:numPr>
          <w:ilvl w:val="0"/>
          <w:numId w:val="26"/>
        </w:numPr>
        <w:spacing w:line="276" w:lineRule="auto"/>
        <w:ind w:left="851"/>
        <w:jc w:val="both"/>
        <w:rPr>
          <w:rFonts w:ascii="Arial" w:hAnsi="Arial" w:cs="Arial"/>
          <w:color w:val="000000" w:themeColor="text1"/>
        </w:rPr>
      </w:pPr>
      <w:r w:rsidRPr="00277E27">
        <w:rPr>
          <w:rFonts w:ascii="Arial" w:hAnsi="Arial" w:cs="Arial"/>
          <w:color w:val="000000" w:themeColor="text1"/>
        </w:rPr>
        <w:t>Muuta TOKVS § 11 lg 2 esimese lause sõnastust</w:t>
      </w:r>
      <w:r w:rsidR="00E61BFC" w:rsidRPr="00277E27">
        <w:rPr>
          <w:rFonts w:ascii="Arial" w:hAnsi="Arial" w:cs="Arial"/>
          <w:color w:val="000000" w:themeColor="text1"/>
        </w:rPr>
        <w:t xml:space="preserve"> järgnevalt:</w:t>
      </w:r>
      <w:r w:rsidR="00B95B5F" w:rsidRPr="00277E27">
        <w:rPr>
          <w:rFonts w:ascii="Arial" w:hAnsi="Arial" w:cs="Arial"/>
          <w:color w:val="000000" w:themeColor="text1"/>
        </w:rPr>
        <w:t xml:space="preserve"> </w:t>
      </w:r>
    </w:p>
    <w:p w14:paraId="490864F4" w14:textId="4ACD10FE" w:rsidR="00B95B5F" w:rsidRDefault="00B95B5F" w:rsidP="00186DD4">
      <w:pPr>
        <w:spacing w:line="276" w:lineRule="auto"/>
        <w:ind w:left="851"/>
        <w:jc w:val="both"/>
        <w:rPr>
          <w:rFonts w:ascii="Arial" w:hAnsi="Arial" w:cs="Arial"/>
          <w:b/>
          <w:bCs/>
          <w:color w:val="000000" w:themeColor="text1"/>
        </w:rPr>
      </w:pPr>
      <w:r w:rsidRPr="00B95B5F">
        <w:rPr>
          <w:rFonts w:ascii="Arial" w:hAnsi="Arial" w:cs="Arial"/>
          <w:b/>
          <w:bCs/>
          <w:color w:val="000000" w:themeColor="text1"/>
        </w:rPr>
        <w:t xml:space="preserve">Mittevaralise kahju kindlustussumma on õigustatud isiku kohta </w:t>
      </w:r>
      <w:r w:rsidRPr="00B95B5F">
        <w:rPr>
          <w:rFonts w:ascii="Arial" w:hAnsi="Arial" w:cs="Arial"/>
          <w:b/>
          <w:bCs/>
          <w:color w:val="EE0000"/>
        </w:rPr>
        <w:t xml:space="preserve">kuni </w:t>
      </w:r>
      <w:r w:rsidRPr="00B95B5F">
        <w:rPr>
          <w:rFonts w:ascii="Arial" w:hAnsi="Arial" w:cs="Arial"/>
          <w:b/>
          <w:bCs/>
          <w:color w:val="000000" w:themeColor="text1"/>
        </w:rPr>
        <w:t xml:space="preserve">30 000 eurot ja kindlustusjuhtumi kohta </w:t>
      </w:r>
      <w:r w:rsidRPr="00B95B5F">
        <w:rPr>
          <w:rFonts w:ascii="Arial" w:hAnsi="Arial" w:cs="Arial"/>
          <w:b/>
          <w:bCs/>
          <w:color w:val="EE0000"/>
        </w:rPr>
        <w:t xml:space="preserve">kuni </w:t>
      </w:r>
      <w:r w:rsidRPr="00B95B5F">
        <w:rPr>
          <w:rFonts w:ascii="Arial" w:hAnsi="Arial" w:cs="Arial"/>
          <w:b/>
          <w:bCs/>
          <w:color w:val="000000" w:themeColor="text1"/>
        </w:rPr>
        <w:t>100 000 eurot</w:t>
      </w:r>
      <w:r>
        <w:rPr>
          <w:rFonts w:ascii="Arial" w:hAnsi="Arial" w:cs="Arial"/>
          <w:b/>
          <w:bCs/>
          <w:color w:val="000000" w:themeColor="text1"/>
        </w:rPr>
        <w:t>.</w:t>
      </w:r>
    </w:p>
    <w:p w14:paraId="303FF0F6" w14:textId="3A840281" w:rsidR="00CA2E41" w:rsidRPr="00924095" w:rsidRDefault="00CA2E41" w:rsidP="00186DD4">
      <w:pPr>
        <w:pStyle w:val="ListParagraph"/>
        <w:numPr>
          <w:ilvl w:val="0"/>
          <w:numId w:val="26"/>
        </w:numPr>
        <w:spacing w:line="276" w:lineRule="auto"/>
        <w:ind w:left="851"/>
        <w:jc w:val="both"/>
        <w:rPr>
          <w:rFonts w:ascii="Arial" w:hAnsi="Arial" w:cs="Arial"/>
          <w:color w:val="000000" w:themeColor="text1"/>
        </w:rPr>
      </w:pPr>
      <w:r>
        <w:rPr>
          <w:rFonts w:ascii="Arial" w:hAnsi="Arial" w:cs="Arial"/>
          <w:color w:val="000000" w:themeColor="text1"/>
        </w:rPr>
        <w:t>Käesoleva paragrahvi</w:t>
      </w:r>
      <w:r w:rsidR="00BF40E0">
        <w:rPr>
          <w:rFonts w:ascii="Arial" w:hAnsi="Arial" w:cs="Arial"/>
          <w:color w:val="000000" w:themeColor="text1"/>
        </w:rPr>
        <w:t xml:space="preserve"> (§ 11)</w:t>
      </w:r>
      <w:r>
        <w:rPr>
          <w:rFonts w:ascii="Arial" w:hAnsi="Arial" w:cs="Arial"/>
          <w:color w:val="000000" w:themeColor="text1"/>
        </w:rPr>
        <w:t xml:space="preserve"> lõigetes 1 ja 2 sätestatud kindlustus</w:t>
      </w:r>
      <w:r w:rsidR="00136291">
        <w:rPr>
          <w:rFonts w:ascii="Arial" w:hAnsi="Arial" w:cs="Arial"/>
          <w:color w:val="000000" w:themeColor="text1"/>
        </w:rPr>
        <w:t>su</w:t>
      </w:r>
      <w:r>
        <w:rPr>
          <w:rFonts w:ascii="Arial" w:hAnsi="Arial" w:cs="Arial"/>
          <w:color w:val="000000" w:themeColor="text1"/>
        </w:rPr>
        <w:t>mmad lepiva</w:t>
      </w:r>
      <w:r w:rsidR="00136291">
        <w:rPr>
          <w:rFonts w:ascii="Arial" w:hAnsi="Arial" w:cs="Arial"/>
          <w:color w:val="000000" w:themeColor="text1"/>
        </w:rPr>
        <w:t>d</w:t>
      </w:r>
      <w:r>
        <w:rPr>
          <w:rFonts w:ascii="Arial" w:hAnsi="Arial" w:cs="Arial"/>
          <w:color w:val="000000" w:themeColor="text1"/>
        </w:rPr>
        <w:t xml:space="preserve"> kindlustu</w:t>
      </w:r>
      <w:r w:rsidR="00136291">
        <w:rPr>
          <w:rFonts w:ascii="Arial" w:hAnsi="Arial" w:cs="Arial"/>
          <w:color w:val="000000" w:themeColor="text1"/>
        </w:rPr>
        <w:t>s</w:t>
      </w:r>
      <w:r>
        <w:rPr>
          <w:rFonts w:ascii="Arial" w:hAnsi="Arial" w:cs="Arial"/>
          <w:color w:val="000000" w:themeColor="text1"/>
        </w:rPr>
        <w:t xml:space="preserve">andja ja </w:t>
      </w:r>
      <w:r w:rsidRPr="00924095">
        <w:rPr>
          <w:rFonts w:ascii="Arial" w:hAnsi="Arial" w:cs="Arial"/>
          <w:color w:val="000000" w:themeColor="text1"/>
        </w:rPr>
        <w:t xml:space="preserve">kindlustusvõtja kokku lähtudes konkreetse tervishoiuteenuse osutajaga seotud riski suurusest, mida hinnatakse lähtudes tervishoiuteenuse osutaja töötajate arvust, käibest, osutatavatest teenustest, senisest </w:t>
      </w:r>
      <w:r w:rsidR="00924095">
        <w:rPr>
          <w:rFonts w:ascii="Arial" w:hAnsi="Arial" w:cs="Arial"/>
          <w:color w:val="000000" w:themeColor="text1"/>
        </w:rPr>
        <w:t xml:space="preserve">kahju hüvitamise ja </w:t>
      </w:r>
      <w:r w:rsidRPr="00924095">
        <w:rPr>
          <w:rFonts w:ascii="Arial" w:hAnsi="Arial" w:cs="Arial"/>
          <w:color w:val="000000" w:themeColor="text1"/>
        </w:rPr>
        <w:t>k</w:t>
      </w:r>
      <w:r w:rsidR="00924095">
        <w:rPr>
          <w:rFonts w:ascii="Arial" w:hAnsi="Arial" w:cs="Arial"/>
          <w:color w:val="000000" w:themeColor="text1"/>
        </w:rPr>
        <w:t>indlustusjuhtumite</w:t>
      </w:r>
      <w:r w:rsidRPr="00924095">
        <w:rPr>
          <w:rFonts w:ascii="Arial" w:hAnsi="Arial" w:cs="Arial"/>
          <w:color w:val="000000" w:themeColor="text1"/>
        </w:rPr>
        <w:t xml:space="preserve"> </w:t>
      </w:r>
      <w:r w:rsidR="00924095">
        <w:rPr>
          <w:rFonts w:ascii="Arial" w:hAnsi="Arial" w:cs="Arial"/>
          <w:color w:val="000000" w:themeColor="text1"/>
        </w:rPr>
        <w:t xml:space="preserve">arvust ning </w:t>
      </w:r>
      <w:r w:rsidRPr="00924095">
        <w:rPr>
          <w:rFonts w:ascii="Arial" w:hAnsi="Arial" w:cs="Arial"/>
          <w:color w:val="000000" w:themeColor="text1"/>
        </w:rPr>
        <w:t xml:space="preserve">praktikast viimase 5 aasta jooksul ja muudest tähendust omavatest asjaoludest. </w:t>
      </w:r>
    </w:p>
    <w:p w14:paraId="06181654" w14:textId="77777777" w:rsidR="00CA2E41" w:rsidRPr="00406EA1" w:rsidRDefault="00CA2E41" w:rsidP="00186DD4">
      <w:pPr>
        <w:pStyle w:val="ListParagraph"/>
        <w:spacing w:line="276" w:lineRule="auto"/>
        <w:ind w:left="1571"/>
        <w:jc w:val="both"/>
        <w:rPr>
          <w:rFonts w:ascii="Arial" w:hAnsi="Arial" w:cs="Arial"/>
          <w:color w:val="000000" w:themeColor="text1"/>
        </w:rPr>
      </w:pPr>
    </w:p>
    <w:p w14:paraId="5A2E60C0" w14:textId="77777777" w:rsidR="00BF40E0" w:rsidRDefault="00622765" w:rsidP="00186DD4">
      <w:pPr>
        <w:pStyle w:val="ListParagraph"/>
        <w:numPr>
          <w:ilvl w:val="0"/>
          <w:numId w:val="24"/>
        </w:numPr>
        <w:spacing w:line="276" w:lineRule="auto"/>
        <w:ind w:left="426"/>
        <w:jc w:val="both"/>
        <w:rPr>
          <w:rFonts w:ascii="Arial" w:hAnsi="Arial" w:cs="Arial"/>
          <w:color w:val="000000" w:themeColor="text1"/>
        </w:rPr>
      </w:pPr>
      <w:r w:rsidRPr="00406EA1">
        <w:rPr>
          <w:rFonts w:ascii="Arial" w:hAnsi="Arial" w:cs="Arial"/>
          <w:b/>
          <w:bCs/>
          <w:color w:val="000000" w:themeColor="text1"/>
        </w:rPr>
        <w:t xml:space="preserve">Teenuse osutamine eriala </w:t>
      </w:r>
      <w:r w:rsidR="00136291">
        <w:rPr>
          <w:rFonts w:ascii="Arial" w:hAnsi="Arial" w:cs="Arial"/>
          <w:b/>
          <w:bCs/>
          <w:color w:val="000000" w:themeColor="text1"/>
        </w:rPr>
        <w:t xml:space="preserve">ja tegevusloa </w:t>
      </w:r>
      <w:r w:rsidRPr="00406EA1">
        <w:rPr>
          <w:rFonts w:ascii="Arial" w:hAnsi="Arial" w:cs="Arial"/>
          <w:b/>
          <w:bCs/>
          <w:color w:val="000000" w:themeColor="text1"/>
        </w:rPr>
        <w:t>piirides</w:t>
      </w:r>
      <w:r w:rsidRPr="00AD54DB">
        <w:rPr>
          <w:rFonts w:ascii="Arial" w:hAnsi="Arial" w:cs="Arial"/>
          <w:color w:val="000000" w:themeColor="text1"/>
        </w:rPr>
        <w:t xml:space="preserve">. </w:t>
      </w:r>
      <w:r w:rsidR="00B4241E">
        <w:rPr>
          <w:rFonts w:ascii="Arial" w:hAnsi="Arial" w:cs="Arial"/>
          <w:color w:val="000000" w:themeColor="text1"/>
        </w:rPr>
        <w:t xml:space="preserve">TOKVS § 20 p 15 kohaselt  </w:t>
      </w:r>
      <w:r w:rsidR="00B4241E" w:rsidRPr="001D062F">
        <w:rPr>
          <w:rFonts w:ascii="Arial" w:hAnsi="Arial" w:cs="Arial"/>
          <w:color w:val="000000" w:themeColor="text1"/>
        </w:rPr>
        <w:t>ei hüvita kindlustusandja kindlustusjuhtumi toimumise korral kahju, mis tuleneb tervishoiuteenuse osutamisest, mida tervishoiutöötaja osutas väljaspool omandatud eriala piire või milleks tervishoiuteenuse osutajal ei olnud tegevusluba.</w:t>
      </w:r>
      <w:r w:rsidR="00B4241E">
        <w:rPr>
          <w:rFonts w:ascii="Arial" w:hAnsi="Arial" w:cs="Arial"/>
          <w:color w:val="000000" w:themeColor="text1"/>
        </w:rPr>
        <w:t xml:space="preserve"> </w:t>
      </w:r>
      <w:r w:rsidR="00B4241E" w:rsidRPr="006025D4">
        <w:rPr>
          <w:rFonts w:ascii="Arial" w:hAnsi="Arial" w:cs="Arial"/>
          <w:color w:val="000000" w:themeColor="text1"/>
        </w:rPr>
        <w:t xml:space="preserve">Kuigi </w:t>
      </w:r>
      <w:r w:rsidR="00B4241E">
        <w:rPr>
          <w:rFonts w:ascii="Arial" w:hAnsi="Arial" w:cs="Arial"/>
          <w:color w:val="000000" w:themeColor="text1"/>
        </w:rPr>
        <w:t xml:space="preserve">tegevusloapõhine kindlustamise </w:t>
      </w:r>
      <w:r w:rsidR="00B4241E" w:rsidRPr="006025D4">
        <w:rPr>
          <w:rFonts w:ascii="Arial" w:hAnsi="Arial" w:cs="Arial"/>
          <w:color w:val="000000" w:themeColor="text1"/>
        </w:rPr>
        <w:t xml:space="preserve">nõue on </w:t>
      </w:r>
      <w:r w:rsidR="00B4241E">
        <w:rPr>
          <w:rFonts w:ascii="Arial" w:hAnsi="Arial" w:cs="Arial"/>
          <w:color w:val="000000" w:themeColor="text1"/>
        </w:rPr>
        <w:t>mõistetav</w:t>
      </w:r>
      <w:r w:rsidR="00B4241E" w:rsidRPr="006025D4">
        <w:rPr>
          <w:rFonts w:ascii="Arial" w:hAnsi="Arial" w:cs="Arial"/>
          <w:color w:val="000000" w:themeColor="text1"/>
        </w:rPr>
        <w:t xml:space="preserve">, siis hambaravis võib </w:t>
      </w:r>
      <w:r w:rsidR="00B4241E">
        <w:rPr>
          <w:rFonts w:ascii="Arial" w:hAnsi="Arial" w:cs="Arial"/>
          <w:color w:val="000000" w:themeColor="text1"/>
        </w:rPr>
        <w:t>see arvestades eeltoodut tuua kaasa olukorra</w:t>
      </w:r>
      <w:r w:rsidR="00B4241E" w:rsidRPr="006025D4">
        <w:rPr>
          <w:rFonts w:ascii="Arial" w:hAnsi="Arial" w:cs="Arial"/>
          <w:color w:val="000000" w:themeColor="text1"/>
        </w:rPr>
        <w:t>, kus patsiendid</w:t>
      </w:r>
      <w:r w:rsidR="00B4241E">
        <w:rPr>
          <w:rFonts w:ascii="Arial" w:hAnsi="Arial" w:cs="Arial"/>
          <w:color w:val="000000" w:themeColor="text1"/>
        </w:rPr>
        <w:t xml:space="preserve"> jäävad kindlustushüvitisest ilma. </w:t>
      </w:r>
    </w:p>
    <w:p w14:paraId="0FA6EB5B" w14:textId="77777777" w:rsidR="00BF40E0" w:rsidRDefault="00BF40E0" w:rsidP="00186DD4">
      <w:pPr>
        <w:pStyle w:val="ListParagraph"/>
        <w:spacing w:line="276" w:lineRule="auto"/>
        <w:ind w:left="426"/>
        <w:jc w:val="both"/>
        <w:rPr>
          <w:rFonts w:ascii="Arial" w:hAnsi="Arial" w:cs="Arial"/>
          <w:b/>
          <w:bCs/>
          <w:color w:val="000000" w:themeColor="text1"/>
        </w:rPr>
      </w:pPr>
    </w:p>
    <w:p w14:paraId="61AD601D" w14:textId="77777777" w:rsidR="00BF40E0" w:rsidRDefault="006025D4" w:rsidP="00186DD4">
      <w:pPr>
        <w:pStyle w:val="ListParagraph"/>
        <w:spacing w:line="276" w:lineRule="auto"/>
        <w:ind w:left="426"/>
        <w:jc w:val="both"/>
        <w:rPr>
          <w:rFonts w:ascii="Arial" w:hAnsi="Arial" w:cs="Arial"/>
          <w:color w:val="000000" w:themeColor="text1"/>
        </w:rPr>
      </w:pPr>
      <w:r w:rsidRPr="00BF40E0">
        <w:rPr>
          <w:rFonts w:ascii="Arial" w:hAnsi="Arial" w:cs="Arial"/>
          <w:color w:val="000000" w:themeColor="text1"/>
        </w:rPr>
        <w:t>TTKS § 4</w:t>
      </w:r>
      <w:r w:rsidRPr="00BF40E0">
        <w:rPr>
          <w:rFonts w:ascii="Arial" w:hAnsi="Arial" w:cs="Arial"/>
          <w:color w:val="000000" w:themeColor="text1"/>
          <w:vertAlign w:val="superscript"/>
        </w:rPr>
        <w:t>3</w:t>
      </w:r>
      <w:r w:rsidRPr="00BF40E0">
        <w:rPr>
          <w:rFonts w:ascii="Arial" w:hAnsi="Arial" w:cs="Arial"/>
          <w:color w:val="000000" w:themeColor="text1"/>
        </w:rPr>
        <w:t xml:space="preserve"> lg 2 </w:t>
      </w:r>
      <w:r w:rsidRPr="00BF40E0">
        <w:rPr>
          <w:rFonts w:ascii="Arial" w:hAnsi="Arial" w:cs="Arial"/>
          <w:color w:val="000000" w:themeColor="text1"/>
        </w:rPr>
        <w:t xml:space="preserve">lubab tervishoiuteenuse osutamisel rakendada ka </w:t>
      </w:r>
      <w:r w:rsidR="00DB44A1" w:rsidRPr="00BF40E0">
        <w:rPr>
          <w:rFonts w:ascii="Arial" w:hAnsi="Arial" w:cs="Arial"/>
          <w:color w:val="000000" w:themeColor="text1"/>
        </w:rPr>
        <w:t xml:space="preserve">eriala </w:t>
      </w:r>
      <w:r w:rsidRPr="00BF40E0">
        <w:rPr>
          <w:rFonts w:ascii="Arial" w:hAnsi="Arial" w:cs="Arial"/>
          <w:color w:val="000000" w:themeColor="text1"/>
        </w:rPr>
        <w:t xml:space="preserve">residentuuri mitte läbinud hambaarsti sõltuvalt tervishoiuteenuse sisust ning hambaarsti pädevusest ja kogemusest. </w:t>
      </w:r>
      <w:r w:rsidR="001D062F" w:rsidRPr="00BF40E0">
        <w:rPr>
          <w:rFonts w:ascii="Arial" w:hAnsi="Arial" w:cs="Arial"/>
          <w:color w:val="000000" w:themeColor="text1"/>
        </w:rPr>
        <w:t xml:space="preserve">Seega näiteks võib üldhambaarst osaleda ortodontia teenuse osutamisel. </w:t>
      </w:r>
      <w:r w:rsidR="00BC0F72" w:rsidRPr="00BF40E0">
        <w:rPr>
          <w:rFonts w:ascii="Arial" w:hAnsi="Arial" w:cs="Arial"/>
          <w:color w:val="000000" w:themeColor="text1"/>
        </w:rPr>
        <w:t>T</w:t>
      </w:r>
      <w:r w:rsidR="0078692A" w:rsidRPr="00BF40E0">
        <w:rPr>
          <w:rFonts w:ascii="Arial" w:hAnsi="Arial" w:cs="Arial"/>
          <w:color w:val="000000" w:themeColor="text1"/>
        </w:rPr>
        <w:t>OKVS § 6 lg 2 kohaselt</w:t>
      </w:r>
      <w:r w:rsidR="005C15B9" w:rsidRPr="00BF40E0">
        <w:rPr>
          <w:rFonts w:ascii="Arial" w:hAnsi="Arial" w:cs="Arial"/>
          <w:color w:val="000000" w:themeColor="text1"/>
        </w:rPr>
        <w:t xml:space="preserve"> peab kindlustuskaitse hõlmama</w:t>
      </w:r>
      <w:r w:rsidR="003F69B7" w:rsidRPr="00BF40E0">
        <w:rPr>
          <w:rFonts w:ascii="Arial" w:hAnsi="Arial" w:cs="Arial"/>
          <w:color w:val="000000" w:themeColor="text1"/>
        </w:rPr>
        <w:t xml:space="preserve"> </w:t>
      </w:r>
      <w:r w:rsidR="005C15B9" w:rsidRPr="00BF40E0">
        <w:rPr>
          <w:rFonts w:ascii="Arial" w:hAnsi="Arial" w:cs="Arial"/>
          <w:color w:val="000000" w:themeColor="text1"/>
        </w:rPr>
        <w:t xml:space="preserve">kõiki tervishoiuteenuseid, mille osutamiseks on tervishoiuteenuse osutajale antud tegevusluba. </w:t>
      </w:r>
      <w:r w:rsidR="00AD54DB" w:rsidRPr="00BF40E0">
        <w:rPr>
          <w:rFonts w:ascii="Arial" w:hAnsi="Arial" w:cs="Arial"/>
          <w:color w:val="000000" w:themeColor="text1"/>
        </w:rPr>
        <w:t>Seega eeldame, et juhul, kui kliinikul on vastav tegevusluba olemas, siis tekib kindlustusandjal kohustus kahju hüvitada ka juhul, kui ortodontia teenust osutas TTKS § 4</w:t>
      </w:r>
      <w:r w:rsidR="00AD54DB" w:rsidRPr="00BF40E0">
        <w:rPr>
          <w:rFonts w:ascii="Arial" w:hAnsi="Arial" w:cs="Arial"/>
          <w:color w:val="000000" w:themeColor="text1"/>
          <w:vertAlign w:val="superscript"/>
        </w:rPr>
        <w:t>3</w:t>
      </w:r>
      <w:r w:rsidR="00AD54DB" w:rsidRPr="00BF40E0">
        <w:rPr>
          <w:rFonts w:ascii="Arial" w:hAnsi="Arial" w:cs="Arial"/>
          <w:color w:val="000000" w:themeColor="text1"/>
        </w:rPr>
        <w:t xml:space="preserve"> lg 2 alusel üldhambaarst</w:t>
      </w:r>
      <w:r w:rsidR="00B4241E" w:rsidRPr="00BF40E0">
        <w:rPr>
          <w:rFonts w:ascii="Arial" w:hAnsi="Arial" w:cs="Arial"/>
          <w:color w:val="000000" w:themeColor="text1"/>
        </w:rPr>
        <w:t xml:space="preserve"> (kuigi formaalselt ei ole ta vastavat eriala omandanud)</w:t>
      </w:r>
      <w:r w:rsidR="00AD54DB" w:rsidRPr="00BF40E0">
        <w:rPr>
          <w:rFonts w:ascii="Arial" w:hAnsi="Arial" w:cs="Arial"/>
          <w:color w:val="000000" w:themeColor="text1"/>
        </w:rPr>
        <w:t xml:space="preserve">. </w:t>
      </w:r>
    </w:p>
    <w:p w14:paraId="535E69A7" w14:textId="77777777" w:rsidR="00BF40E0" w:rsidRDefault="00BF40E0" w:rsidP="00186DD4">
      <w:pPr>
        <w:pStyle w:val="ListParagraph"/>
        <w:spacing w:line="276" w:lineRule="auto"/>
        <w:ind w:left="426"/>
        <w:jc w:val="both"/>
        <w:rPr>
          <w:rFonts w:ascii="Arial" w:hAnsi="Arial" w:cs="Arial"/>
          <w:color w:val="000000" w:themeColor="text1"/>
        </w:rPr>
      </w:pPr>
    </w:p>
    <w:p w14:paraId="4DA0F73E" w14:textId="77777777" w:rsidR="00BF40E0" w:rsidRDefault="00EB6811" w:rsidP="00186DD4">
      <w:pPr>
        <w:pStyle w:val="ListParagraph"/>
        <w:spacing w:line="276" w:lineRule="auto"/>
        <w:ind w:left="426"/>
        <w:jc w:val="both"/>
        <w:rPr>
          <w:rFonts w:ascii="Arial" w:hAnsi="Arial" w:cs="Arial"/>
          <w:color w:val="000000" w:themeColor="text1"/>
        </w:rPr>
      </w:pPr>
      <w:r w:rsidRPr="00BF40E0">
        <w:rPr>
          <w:rFonts w:ascii="Arial" w:hAnsi="Arial" w:cs="Arial"/>
          <w:color w:val="000000" w:themeColor="text1"/>
        </w:rPr>
        <w:t>Probleem võib aga tekkida juhul, kui osutatakse teenuseid</w:t>
      </w:r>
      <w:r w:rsidR="00F95B3E" w:rsidRPr="00BF40E0">
        <w:rPr>
          <w:rFonts w:ascii="Arial" w:hAnsi="Arial" w:cs="Arial"/>
          <w:color w:val="000000" w:themeColor="text1"/>
        </w:rPr>
        <w:t xml:space="preserve"> (nt kaperavi)</w:t>
      </w:r>
      <w:r w:rsidRPr="00BF40E0">
        <w:rPr>
          <w:rFonts w:ascii="Arial" w:hAnsi="Arial" w:cs="Arial"/>
          <w:color w:val="000000" w:themeColor="text1"/>
        </w:rPr>
        <w:t>, mille puhul ei ole selge, kas need kuuluvad üldhambaravi alla ja eraldi tegevusluba ei vaja või erihambaravi alla, mille puhul on vajalik eraldi tegevusluba. Nimelt ei ole patsiendi suuõõnes teostatavad protseduurid ühegi õigusakti tasandil erialati selgelt piiritletud, mistõttu on kindlustusandjal üsna avar tõlgendamisruum hambaraviteenuste liigitamisel ühe või teise eriala või tegevusloa alla. Kindlasti ei ole patsiendi huvides, kui näiteks ebaõnnestunud</w:t>
      </w:r>
      <w:r w:rsidR="00731E34" w:rsidRPr="00BF40E0">
        <w:rPr>
          <w:rFonts w:ascii="Arial" w:hAnsi="Arial" w:cs="Arial"/>
          <w:color w:val="000000" w:themeColor="text1"/>
        </w:rPr>
        <w:t xml:space="preserve"> kaperavi </w:t>
      </w:r>
      <w:r w:rsidRPr="00BF40E0">
        <w:rPr>
          <w:rFonts w:ascii="Arial" w:hAnsi="Arial" w:cs="Arial"/>
          <w:color w:val="000000" w:themeColor="text1"/>
        </w:rPr>
        <w:t xml:space="preserve">korral saab kindlustus kahju hüvitamisest keelduda, sest kliinikul ei olnud </w:t>
      </w:r>
      <w:r w:rsidR="00731E34" w:rsidRPr="00BF40E0">
        <w:rPr>
          <w:rFonts w:ascii="Arial" w:hAnsi="Arial" w:cs="Arial"/>
          <w:color w:val="000000" w:themeColor="text1"/>
        </w:rPr>
        <w:t>ortodontia</w:t>
      </w:r>
      <w:r w:rsidRPr="00BF40E0">
        <w:rPr>
          <w:rFonts w:ascii="Arial" w:hAnsi="Arial" w:cs="Arial"/>
          <w:color w:val="000000" w:themeColor="text1"/>
        </w:rPr>
        <w:t xml:space="preserve"> tegevusluba. </w:t>
      </w:r>
      <w:r w:rsidR="00C333A2" w:rsidRPr="00BF40E0">
        <w:rPr>
          <w:rFonts w:ascii="Arial" w:hAnsi="Arial" w:cs="Arial"/>
          <w:color w:val="000000" w:themeColor="text1"/>
        </w:rPr>
        <w:t>Leiame, et kaperavi võib osutada ka üldha</w:t>
      </w:r>
      <w:r w:rsidR="00BF40E0" w:rsidRPr="00BF40E0">
        <w:rPr>
          <w:rFonts w:ascii="Arial" w:hAnsi="Arial" w:cs="Arial"/>
          <w:color w:val="000000" w:themeColor="text1"/>
        </w:rPr>
        <w:t>m</w:t>
      </w:r>
      <w:r w:rsidR="00C333A2" w:rsidRPr="00BF40E0">
        <w:rPr>
          <w:rFonts w:ascii="Arial" w:hAnsi="Arial" w:cs="Arial"/>
          <w:color w:val="000000" w:themeColor="text1"/>
        </w:rPr>
        <w:t>baarst üldhambaravi tegevusluba omavas kliinikus.</w:t>
      </w:r>
      <w:r w:rsidR="00F07EE5" w:rsidRPr="00BF40E0">
        <w:rPr>
          <w:rFonts w:ascii="Arial" w:hAnsi="Arial" w:cs="Arial"/>
          <w:color w:val="000000" w:themeColor="text1"/>
        </w:rPr>
        <w:t xml:space="preserve"> </w:t>
      </w:r>
    </w:p>
    <w:p w14:paraId="50BBC79E" w14:textId="77777777" w:rsidR="00BF40E0" w:rsidRDefault="00BF40E0" w:rsidP="00186DD4">
      <w:pPr>
        <w:pStyle w:val="ListParagraph"/>
        <w:spacing w:line="276" w:lineRule="auto"/>
        <w:ind w:left="426"/>
        <w:jc w:val="both"/>
        <w:rPr>
          <w:rFonts w:ascii="Arial" w:hAnsi="Arial" w:cs="Arial"/>
          <w:color w:val="000000" w:themeColor="text1"/>
        </w:rPr>
      </w:pPr>
    </w:p>
    <w:p w14:paraId="1D6565E5" w14:textId="1D27E2D5" w:rsidR="00150075" w:rsidRDefault="00D47329" w:rsidP="00186DD4">
      <w:pPr>
        <w:pStyle w:val="ListParagraph"/>
        <w:spacing w:line="276" w:lineRule="auto"/>
        <w:ind w:left="426"/>
        <w:jc w:val="both"/>
        <w:rPr>
          <w:rFonts w:ascii="Arial" w:hAnsi="Arial" w:cs="Arial"/>
          <w:color w:val="000000" w:themeColor="text1"/>
        </w:rPr>
      </w:pPr>
      <w:r w:rsidRPr="00BF40E0">
        <w:rPr>
          <w:rFonts w:ascii="Arial" w:hAnsi="Arial" w:cs="Arial"/>
          <w:color w:val="000000" w:themeColor="text1"/>
        </w:rPr>
        <w:t>Seetõttu tuleks</w:t>
      </w:r>
      <w:r w:rsidR="0027286F" w:rsidRPr="00BF40E0">
        <w:rPr>
          <w:rFonts w:ascii="Arial" w:hAnsi="Arial" w:cs="Arial"/>
          <w:color w:val="000000" w:themeColor="text1"/>
        </w:rPr>
        <w:t>, vähemalt</w:t>
      </w:r>
      <w:r w:rsidRPr="00BF40E0">
        <w:rPr>
          <w:rFonts w:ascii="Arial" w:hAnsi="Arial" w:cs="Arial"/>
          <w:color w:val="000000" w:themeColor="text1"/>
        </w:rPr>
        <w:t xml:space="preserve"> </w:t>
      </w:r>
      <w:r w:rsidR="00346CD8" w:rsidRPr="00BF40E0">
        <w:rPr>
          <w:rFonts w:ascii="Arial" w:hAnsi="Arial" w:cs="Arial"/>
          <w:color w:val="000000" w:themeColor="text1"/>
        </w:rPr>
        <w:t>hambaravi</w:t>
      </w:r>
      <w:r w:rsidR="0027286F" w:rsidRPr="00BF40E0">
        <w:rPr>
          <w:rFonts w:ascii="Arial" w:hAnsi="Arial" w:cs="Arial"/>
          <w:color w:val="000000" w:themeColor="text1"/>
        </w:rPr>
        <w:t xml:space="preserve"> puhul, </w:t>
      </w:r>
      <w:r w:rsidR="00346CD8" w:rsidRPr="00BF40E0">
        <w:rPr>
          <w:rFonts w:ascii="Arial" w:hAnsi="Arial" w:cs="Arial"/>
          <w:color w:val="000000" w:themeColor="text1"/>
        </w:rPr>
        <w:t xml:space="preserve"> lähtuda mitte tegevuslubadest, vaid </w:t>
      </w:r>
      <w:r w:rsidR="008C2762" w:rsidRPr="00BF40E0">
        <w:rPr>
          <w:rFonts w:ascii="Arial" w:hAnsi="Arial" w:cs="Arial"/>
          <w:color w:val="000000" w:themeColor="text1"/>
        </w:rPr>
        <w:t xml:space="preserve">eelkõige </w:t>
      </w:r>
      <w:r w:rsidR="00346CD8" w:rsidRPr="00BF40E0">
        <w:rPr>
          <w:rFonts w:ascii="Arial" w:hAnsi="Arial" w:cs="Arial"/>
          <w:b/>
          <w:bCs/>
          <w:color w:val="000000" w:themeColor="text1"/>
        </w:rPr>
        <w:t>konkreetse</w:t>
      </w:r>
      <w:r w:rsidR="00346CD8" w:rsidRPr="00BF40E0">
        <w:rPr>
          <w:rFonts w:ascii="Arial" w:hAnsi="Arial" w:cs="Arial"/>
          <w:color w:val="000000" w:themeColor="text1"/>
        </w:rPr>
        <w:t xml:space="preserve"> </w:t>
      </w:r>
      <w:r w:rsidR="00346CD8" w:rsidRPr="00BF40E0">
        <w:rPr>
          <w:rFonts w:ascii="Arial" w:hAnsi="Arial" w:cs="Arial"/>
          <w:b/>
          <w:bCs/>
          <w:color w:val="000000" w:themeColor="text1"/>
        </w:rPr>
        <w:t>tervishoiutöötaja pädevusest</w:t>
      </w:r>
      <w:r w:rsidR="00346CD8" w:rsidRPr="00BF40E0">
        <w:rPr>
          <w:rFonts w:ascii="Arial" w:hAnsi="Arial" w:cs="Arial"/>
          <w:color w:val="000000" w:themeColor="text1"/>
        </w:rPr>
        <w:t xml:space="preserve">. </w:t>
      </w:r>
      <w:r w:rsidR="001F25CA" w:rsidRPr="00BF40E0">
        <w:rPr>
          <w:rFonts w:ascii="Arial" w:hAnsi="Arial" w:cs="Arial"/>
          <w:color w:val="000000" w:themeColor="text1"/>
        </w:rPr>
        <w:t xml:space="preserve">Teisisõnu, kindlustusandja ei saa välistusele tuginedes hüvitamiskohustusest vabaneda kui konkreetne tervishoiutöötaja oli pädev teenust osutama. </w:t>
      </w:r>
      <w:r w:rsidR="00150075" w:rsidRPr="00BF40E0">
        <w:rPr>
          <w:rFonts w:ascii="Arial" w:hAnsi="Arial" w:cs="Arial"/>
          <w:color w:val="000000" w:themeColor="text1"/>
        </w:rPr>
        <w:t>Kuna lõppastmes hindavad kindlustusjuhtumeid ekspertarstid, siis ei tohiks pädevuse hindamine</w:t>
      </w:r>
      <w:r w:rsidR="00166F9B" w:rsidRPr="00BF40E0">
        <w:rPr>
          <w:rFonts w:ascii="Arial" w:hAnsi="Arial" w:cs="Arial"/>
          <w:color w:val="000000" w:themeColor="text1"/>
        </w:rPr>
        <w:t xml:space="preserve"> olla ületamatult keeruline. Pädevuse hindamiseks on võimalik nõuda välja </w:t>
      </w:r>
      <w:r w:rsidR="00150075" w:rsidRPr="00BF40E0">
        <w:rPr>
          <w:rFonts w:ascii="Arial" w:hAnsi="Arial" w:cs="Arial"/>
          <w:color w:val="000000" w:themeColor="text1"/>
        </w:rPr>
        <w:t>näiteks täiendõppe dokumendid.</w:t>
      </w:r>
    </w:p>
    <w:p w14:paraId="0E57B75B" w14:textId="77777777" w:rsidR="00BF40E0" w:rsidRPr="00BF40E0" w:rsidRDefault="00BF40E0" w:rsidP="00186DD4">
      <w:pPr>
        <w:pStyle w:val="ListParagraph"/>
        <w:spacing w:line="276" w:lineRule="auto"/>
        <w:ind w:left="426"/>
        <w:jc w:val="both"/>
        <w:rPr>
          <w:rFonts w:ascii="Arial" w:hAnsi="Arial" w:cs="Arial"/>
          <w:color w:val="000000" w:themeColor="text1"/>
        </w:rPr>
      </w:pPr>
    </w:p>
    <w:p w14:paraId="22838BEA" w14:textId="4C9D0200" w:rsidR="00766D6F" w:rsidRPr="00150075" w:rsidRDefault="00766D6F" w:rsidP="00186DD4">
      <w:pPr>
        <w:pStyle w:val="ListParagraph"/>
        <w:spacing w:line="276" w:lineRule="auto"/>
        <w:ind w:left="426"/>
        <w:jc w:val="both"/>
        <w:rPr>
          <w:rFonts w:ascii="Arial" w:hAnsi="Arial" w:cs="Arial"/>
          <w:color w:val="000000" w:themeColor="text1"/>
        </w:rPr>
      </w:pPr>
      <w:r w:rsidRPr="00150075">
        <w:rPr>
          <w:rFonts w:ascii="Arial" w:hAnsi="Arial" w:cs="Arial"/>
          <w:color w:val="000000" w:themeColor="text1"/>
        </w:rPr>
        <w:t>Eeltoodust tulenevalt teeme ettepanek</w:t>
      </w:r>
      <w:r w:rsidR="00150075">
        <w:rPr>
          <w:rFonts w:ascii="Arial" w:hAnsi="Arial" w:cs="Arial"/>
          <w:color w:val="000000" w:themeColor="text1"/>
        </w:rPr>
        <w:t xml:space="preserve">u avada arutelu, kuidas muuta </w:t>
      </w:r>
      <w:r w:rsidR="007F0543">
        <w:rPr>
          <w:rFonts w:ascii="Arial" w:hAnsi="Arial" w:cs="Arial"/>
          <w:color w:val="000000" w:themeColor="text1"/>
        </w:rPr>
        <w:t xml:space="preserve">õigusakte </w:t>
      </w:r>
      <w:r w:rsidR="00150075">
        <w:rPr>
          <w:rFonts w:ascii="Arial" w:hAnsi="Arial" w:cs="Arial"/>
          <w:color w:val="000000" w:themeColor="text1"/>
        </w:rPr>
        <w:t>nii, et hambaarstid saaksid teostada raviprotseduure suuõõnes vastavalt oma pädevusele, omades seejuures kehtivat kindlustuskaitset.</w:t>
      </w:r>
    </w:p>
    <w:p w14:paraId="1C7ADE29" w14:textId="77777777" w:rsidR="00B95B5F" w:rsidRPr="004710FD" w:rsidRDefault="00B95B5F" w:rsidP="00186DD4">
      <w:pPr>
        <w:spacing w:line="276" w:lineRule="auto"/>
        <w:jc w:val="both"/>
        <w:rPr>
          <w:rFonts w:ascii="Arial" w:hAnsi="Arial" w:cs="Arial"/>
        </w:rPr>
      </w:pPr>
    </w:p>
    <w:p w14:paraId="28DBBBE5" w14:textId="77777777" w:rsidR="00DD5267" w:rsidRPr="004710FD" w:rsidRDefault="00DD5267" w:rsidP="00186DD4">
      <w:pPr>
        <w:spacing w:line="276" w:lineRule="auto"/>
        <w:jc w:val="both"/>
        <w:rPr>
          <w:rFonts w:ascii="Arial" w:eastAsia="Calibri" w:hAnsi="Arial" w:cs="Arial"/>
        </w:rPr>
      </w:pPr>
    </w:p>
    <w:p w14:paraId="21461B52" w14:textId="04616E93" w:rsidR="00EC5D70" w:rsidRPr="004710FD" w:rsidRDefault="00EC5D70" w:rsidP="00186DD4">
      <w:pPr>
        <w:spacing w:line="276" w:lineRule="auto"/>
        <w:jc w:val="both"/>
        <w:rPr>
          <w:rFonts w:ascii="Arial" w:eastAsia="Calibri" w:hAnsi="Arial" w:cs="Arial"/>
        </w:rPr>
      </w:pPr>
      <w:r w:rsidRPr="004710FD">
        <w:rPr>
          <w:rFonts w:ascii="Arial" w:eastAsia="Calibri" w:hAnsi="Arial" w:cs="Arial"/>
        </w:rPr>
        <w:t xml:space="preserve">Lugupidamisega </w:t>
      </w:r>
    </w:p>
    <w:p w14:paraId="526F7552" w14:textId="1BD85506" w:rsidR="00BF40E0" w:rsidRDefault="00BF40E0" w:rsidP="00186DD4">
      <w:pPr>
        <w:spacing w:after="0" w:line="276" w:lineRule="auto"/>
        <w:jc w:val="both"/>
        <w:rPr>
          <w:rFonts w:ascii="Arial" w:eastAsia="Calibri" w:hAnsi="Arial" w:cs="Arial"/>
        </w:rPr>
      </w:pPr>
      <w:r>
        <w:rPr>
          <w:rFonts w:ascii="Arial" w:eastAsia="Calibri" w:hAnsi="Arial" w:cs="Arial"/>
        </w:rPr>
        <w:t>/</w:t>
      </w:r>
      <w:r w:rsidRPr="00BF40E0">
        <w:rPr>
          <w:rFonts w:ascii="Arial" w:eastAsia="Calibri" w:hAnsi="Arial" w:cs="Arial"/>
          <w:i/>
          <w:iCs/>
        </w:rPr>
        <w:t>digiallkiri</w:t>
      </w:r>
      <w:r>
        <w:rPr>
          <w:rFonts w:ascii="Arial" w:eastAsia="Calibri" w:hAnsi="Arial" w:cs="Arial"/>
        </w:rPr>
        <w:t>/</w:t>
      </w:r>
    </w:p>
    <w:p w14:paraId="61926482" w14:textId="34B9AEB0" w:rsidR="00EC5D70" w:rsidRPr="004710FD" w:rsidRDefault="00E848EA" w:rsidP="00186DD4">
      <w:pPr>
        <w:spacing w:after="0" w:line="276" w:lineRule="auto"/>
        <w:jc w:val="both"/>
        <w:rPr>
          <w:rFonts w:ascii="Arial" w:eastAsia="Calibri" w:hAnsi="Arial" w:cs="Arial"/>
        </w:rPr>
      </w:pPr>
      <w:r w:rsidRPr="004710FD">
        <w:rPr>
          <w:rFonts w:ascii="Arial" w:eastAsia="Calibri" w:hAnsi="Arial" w:cs="Arial"/>
        </w:rPr>
        <w:t>Katrin Metstak</w:t>
      </w:r>
    </w:p>
    <w:p w14:paraId="5ADF92CE" w14:textId="45C7B0AD" w:rsidR="00E848EA" w:rsidRPr="004710FD" w:rsidRDefault="00E848EA" w:rsidP="00186DD4">
      <w:pPr>
        <w:spacing w:after="0" w:line="276" w:lineRule="auto"/>
        <w:jc w:val="both"/>
        <w:rPr>
          <w:rFonts w:ascii="Arial" w:eastAsia="Calibri" w:hAnsi="Arial" w:cs="Arial"/>
        </w:rPr>
      </w:pPr>
      <w:r w:rsidRPr="004710FD">
        <w:rPr>
          <w:rFonts w:ascii="Arial" w:eastAsia="Calibri" w:hAnsi="Arial" w:cs="Arial"/>
        </w:rPr>
        <w:t>president</w:t>
      </w:r>
    </w:p>
    <w:p w14:paraId="4826CB3C" w14:textId="77777777" w:rsidR="00EC5D70" w:rsidRPr="004710FD" w:rsidRDefault="00EC5D70" w:rsidP="00186DD4">
      <w:pPr>
        <w:spacing w:after="0" w:line="276" w:lineRule="auto"/>
        <w:jc w:val="both"/>
        <w:rPr>
          <w:rFonts w:ascii="Arial" w:eastAsia="Calibri" w:hAnsi="Arial" w:cs="Arial"/>
        </w:rPr>
      </w:pPr>
      <w:r w:rsidRPr="004710FD">
        <w:rPr>
          <w:rFonts w:ascii="Arial" w:eastAsia="Calibri" w:hAnsi="Arial" w:cs="Arial"/>
        </w:rPr>
        <w:t>Eesti Hambaarstide Liit</w:t>
      </w:r>
    </w:p>
    <w:p w14:paraId="6A5C8633" w14:textId="77777777" w:rsidR="004D72A3" w:rsidRPr="004710FD" w:rsidRDefault="004D72A3" w:rsidP="00186DD4">
      <w:pPr>
        <w:spacing w:line="276" w:lineRule="auto"/>
        <w:jc w:val="both"/>
        <w:rPr>
          <w:rFonts w:ascii="Arial" w:hAnsi="Arial" w:cs="Arial"/>
        </w:rPr>
      </w:pPr>
    </w:p>
    <w:p w14:paraId="5FB0B3C0" w14:textId="77777777" w:rsidR="004710FD" w:rsidRPr="004710FD" w:rsidRDefault="004710FD" w:rsidP="00186DD4">
      <w:pPr>
        <w:spacing w:line="276" w:lineRule="auto"/>
        <w:jc w:val="both"/>
        <w:rPr>
          <w:rFonts w:ascii="Arial" w:hAnsi="Arial" w:cs="Arial"/>
        </w:rPr>
      </w:pPr>
    </w:p>
    <w:sectPr w:rsidR="004710FD" w:rsidRPr="004710FD" w:rsidSect="00AA5603">
      <w:headerReference w:type="even" r:id="rId8"/>
      <w:headerReference w:type="default" r:id="rId9"/>
      <w:footerReference w:type="default" r:id="rId10"/>
      <w:headerReference w:type="first" r:id="rId11"/>
      <w:pgSz w:w="11900" w:h="16840"/>
      <w:pgMar w:top="1440" w:right="1440" w:bottom="1440" w:left="144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4AF9" w14:textId="77777777" w:rsidR="00F3019A" w:rsidRDefault="00F3019A" w:rsidP="006F323F">
      <w:r>
        <w:separator/>
      </w:r>
    </w:p>
  </w:endnote>
  <w:endnote w:type="continuationSeparator" w:id="0">
    <w:p w14:paraId="29E39C9B" w14:textId="77777777" w:rsidR="00F3019A" w:rsidRDefault="00F3019A" w:rsidP="006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FA47" w14:textId="77777777" w:rsidR="00AA5603" w:rsidRDefault="00AA5603" w:rsidP="00CC5C56">
    <w:pPr>
      <w:pStyle w:val="Footer"/>
      <w:spacing w:after="0" w:line="240" w:lineRule="auto"/>
      <w:rPr>
        <w:rFonts w:asciiTheme="majorHAnsi" w:hAnsiTheme="majorHAnsi"/>
        <w:color w:val="808080" w:themeColor="background1" w:themeShade="80"/>
      </w:rPr>
    </w:pPr>
  </w:p>
  <w:p w14:paraId="2AA84064" w14:textId="2203A00E" w:rsidR="00A446AD" w:rsidRPr="004F7B7D" w:rsidRDefault="00A446AD" w:rsidP="00CC5C56">
    <w:pPr>
      <w:pStyle w:val="Footer"/>
      <w:spacing w:after="0" w:line="240" w:lineRule="auto"/>
      <w:rPr>
        <w:rFonts w:asciiTheme="majorHAnsi" w:hAnsiTheme="majorHAnsi"/>
        <w:color w:val="808080" w:themeColor="background1" w:themeShade="80"/>
      </w:rPr>
    </w:pPr>
    <w:r>
      <w:rPr>
        <w:rFonts w:asciiTheme="majorHAnsi" w:hAnsiTheme="majorHAnsi"/>
        <w:color w:val="808080" w:themeColor="background1" w:themeShade="80"/>
      </w:rPr>
      <w:t>MTÜ Eesti Hambaarstide Liit</w:t>
    </w:r>
    <w:r>
      <w:rPr>
        <w:rFonts w:asciiTheme="majorHAnsi" w:hAnsiTheme="majorHAnsi"/>
        <w:color w:val="808080" w:themeColor="background1" w:themeShade="80"/>
      </w:rPr>
      <w:tab/>
    </w:r>
    <w:r>
      <w:rPr>
        <w:rFonts w:asciiTheme="majorHAnsi" w:hAnsiTheme="majorHAnsi"/>
        <w:color w:val="808080" w:themeColor="background1" w:themeShade="80"/>
      </w:rPr>
      <w:tab/>
      <w:t>Eesti Hambaarstide Liit</w:t>
    </w:r>
  </w:p>
  <w:p w14:paraId="11A6D7B5" w14:textId="0CB73400" w:rsidR="00A446AD" w:rsidRPr="004F7B7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Narva mnt 5-76, Tallinn 10117</w:t>
    </w:r>
    <w:r>
      <w:rPr>
        <w:rFonts w:asciiTheme="majorHAnsi" w:hAnsiTheme="majorHAnsi"/>
        <w:color w:val="808080" w:themeColor="background1" w:themeShade="80"/>
      </w:rPr>
      <w:tab/>
    </w:r>
    <w:r>
      <w:rPr>
        <w:rFonts w:asciiTheme="majorHAnsi" w:hAnsiTheme="majorHAnsi"/>
        <w:color w:val="808080" w:themeColor="background1" w:themeShade="80"/>
      </w:rPr>
      <w:tab/>
    </w:r>
    <w:proofErr w:type="spellStart"/>
    <w:r>
      <w:rPr>
        <w:rFonts w:asciiTheme="majorHAnsi" w:hAnsiTheme="majorHAnsi"/>
        <w:color w:val="808080" w:themeColor="background1" w:themeShade="80"/>
      </w:rPr>
      <w:t>reg</w:t>
    </w:r>
    <w:proofErr w:type="spellEnd"/>
    <w:r>
      <w:rPr>
        <w:rFonts w:asciiTheme="majorHAnsi" w:hAnsiTheme="majorHAnsi"/>
        <w:color w:val="808080" w:themeColor="background1" w:themeShade="80"/>
      </w:rPr>
      <w:t>. nr. 80253809</w:t>
    </w:r>
  </w:p>
  <w:p w14:paraId="13D8C037" w14:textId="1DD0C55E" w:rsidR="00A446A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 xml:space="preserve">Tel. 645 9001 | </w:t>
    </w:r>
    <w:hyperlink r:id="rId1" w:history="1">
      <w:r w:rsidRPr="006259F3">
        <w:rPr>
          <w:rStyle w:val="Hyperlink"/>
          <w:rFonts w:asciiTheme="majorHAnsi" w:hAnsiTheme="majorHAnsi"/>
          <w:color w:val="000080" w:themeColor="hyperlink" w:themeShade="80"/>
        </w:rPr>
        <w:t>tallinn@ehl.ee</w:t>
      </w:r>
    </w:hyperlink>
    <w:r>
      <w:rPr>
        <w:rFonts w:asciiTheme="majorHAnsi" w:hAnsiTheme="majorHAnsi"/>
        <w:color w:val="808080" w:themeColor="background1" w:themeShade="80"/>
      </w:rPr>
      <w:tab/>
    </w:r>
    <w:r>
      <w:rPr>
        <w:rFonts w:asciiTheme="majorHAnsi" w:hAnsiTheme="majorHAnsi"/>
        <w:color w:val="808080" w:themeColor="background1" w:themeShade="80"/>
      </w:rPr>
      <w:tab/>
      <w:t>SEB EE141010152007519005</w:t>
    </w:r>
  </w:p>
  <w:p w14:paraId="6D307A9E" w14:textId="49579D73" w:rsidR="00A446AD" w:rsidRPr="004F7B7D" w:rsidRDefault="00A446AD" w:rsidP="00CC5C56">
    <w:pPr>
      <w:pStyle w:val="Footer"/>
      <w:spacing w:after="0" w:line="240" w:lineRule="auto"/>
      <w:rPr>
        <w:rFonts w:asciiTheme="majorHAnsi" w:hAnsiTheme="majorHAnsi"/>
        <w:color w:val="808080" w:themeColor="background1" w:themeShade="80"/>
      </w:rPr>
    </w:pPr>
    <w:hyperlink r:id="rId2" w:history="1">
      <w:r w:rsidRPr="006259F3">
        <w:rPr>
          <w:rStyle w:val="Hyperlink"/>
          <w:rFonts w:asciiTheme="majorHAnsi" w:hAnsiTheme="majorHAnsi"/>
          <w:color w:val="000080" w:themeColor="hyperlink" w:themeShade="80"/>
        </w:rPr>
        <w:t>www.ehl.ee</w:t>
      </w:r>
    </w:hyperlink>
    <w:r>
      <w:rPr>
        <w:rFonts w:asciiTheme="majorHAnsi" w:hAnsiTheme="majorHAnsi"/>
        <w:color w:val="808080" w:themeColor="background1" w:themeShade="80"/>
      </w:rPr>
      <w:t xml:space="preserve"> </w:t>
    </w:r>
    <w:r>
      <w:rPr>
        <w:rFonts w:asciiTheme="majorHAnsi" w:hAnsiTheme="majorHAnsi"/>
        <w:color w:val="808080" w:themeColor="background1" w:themeShade="80"/>
      </w:rPr>
      <w:tab/>
    </w:r>
    <w:r>
      <w:rPr>
        <w:rFonts w:asciiTheme="majorHAnsi" w:hAnsiTheme="majorHAnsi"/>
        <w:color w:val="808080" w:themeColor="background1" w:themeShade="80"/>
      </w:rPr>
      <w:tab/>
      <w:t>Swedbank EE302200221001164481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CB5C" w14:textId="77777777" w:rsidR="00F3019A" w:rsidRDefault="00F3019A" w:rsidP="006F323F">
      <w:r>
        <w:separator/>
      </w:r>
    </w:p>
  </w:footnote>
  <w:footnote w:type="continuationSeparator" w:id="0">
    <w:p w14:paraId="64236EAE" w14:textId="77777777" w:rsidR="00F3019A" w:rsidRDefault="00F3019A" w:rsidP="006F323F">
      <w:r>
        <w:continuationSeparator/>
      </w:r>
    </w:p>
  </w:footnote>
  <w:footnote w:id="1">
    <w:p w14:paraId="544AACA8" w14:textId="7282A3CE" w:rsidR="00BC0F72" w:rsidRDefault="00BC0F72">
      <w:pPr>
        <w:pStyle w:val="FootnoteText"/>
      </w:pPr>
      <w:r>
        <w:rPr>
          <w:rStyle w:val="FootnoteReference"/>
        </w:rPr>
        <w:footnoteRef/>
      </w:r>
      <w:r>
        <w:t xml:space="preserve"> TOKVS seletuskiri lk 21</w:t>
      </w:r>
    </w:p>
  </w:footnote>
  <w:footnote w:id="2">
    <w:p w14:paraId="286D9DA0" w14:textId="3244F639" w:rsidR="00E05462" w:rsidRDefault="00E05462">
      <w:pPr>
        <w:pStyle w:val="FootnoteText"/>
      </w:pPr>
      <w:r>
        <w:rPr>
          <w:rStyle w:val="FootnoteReference"/>
        </w:rPr>
        <w:footnoteRef/>
      </w:r>
      <w:r>
        <w:t xml:space="preserve"> </w:t>
      </w:r>
      <w:r w:rsidRPr="00E05462">
        <w:t>https://www.mu.ee/uudised/2025/09/17/pzu-kindlustusele-on-tanavu-esitatud-335-ravivea-kahjuavaldust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BBAE" w14:textId="76EA96F3" w:rsidR="00A446AD" w:rsidRDefault="00277E27">
    <w:pPr>
      <w:pStyle w:val="Header"/>
    </w:pPr>
    <w:r>
      <w:rPr>
        <w:noProof/>
      </w:rPr>
    </w:r>
    <w:r w:rsidR="00277E27">
      <w:rPr>
        <w:noProof/>
      </w:rPr>
      <w:pict w14:anchorId="20ADD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14.95pt;height:409.05pt;z-index:-251653120;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4EEA" w14:textId="00223E69" w:rsidR="00A446AD" w:rsidRDefault="00277E27" w:rsidP="004F7B7D">
    <w:pPr>
      <w:pStyle w:val="Header"/>
      <w:ind w:left="-993"/>
    </w:pPr>
    <w:r>
      <w:rPr>
        <w:noProof/>
      </w:rPr>
    </w:r>
    <w:r w:rsidR="00277E27">
      <w:rPr>
        <w:noProof/>
      </w:rPr>
      <w:pict w14:anchorId="3CC0F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414.95pt;height:409.05pt;z-index:-251650048;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r w:rsidR="00A446AD">
      <w:rPr>
        <w:noProof/>
        <w:lang w:val="en-US"/>
      </w:rPr>
      <w:drawing>
        <wp:inline distT="0" distB="0" distL="0" distR="0" wp14:anchorId="50D64EB8" wp14:editId="48A67573">
          <wp:extent cx="3124200" cy="7493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2"/>
                  <a:stretch>
                    <a:fillRect/>
                  </a:stretch>
                </pic:blipFill>
                <pic:spPr>
                  <a:xfrm>
                    <a:off x="0" y="0"/>
                    <a:ext cx="3124200" cy="749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D424" w14:textId="237AFFE2" w:rsidR="00A446AD" w:rsidRDefault="00277E27">
    <w:pPr>
      <w:pStyle w:val="Header"/>
    </w:pPr>
    <w:r>
      <w:rPr>
        <w:noProof/>
      </w:rPr>
    </w:r>
    <w:r w:rsidR="00277E27">
      <w:rPr>
        <w:noProof/>
      </w:rPr>
      <w:pict w14:anchorId="40B74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95pt;height:409.05pt;z-index:-251656192;mso-wrap-edited:f;mso-width-percent:0;mso-height-percent:0;mso-position-horizontal:center;mso-position-horizontal-relative:margin;mso-position-vertical:center;mso-position-vertical-relative:margin;mso-width-percent:0;mso-height-percent:0" wrapcoords="-39 0 -39 21520 21600 21520 21600 0 -39 0" o:allowincell="f">
          <v:imagedata r:id="rId1" o:title="eh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7C5"/>
    <w:multiLevelType w:val="hybridMultilevel"/>
    <w:tmpl w:val="2F12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047F8"/>
    <w:multiLevelType w:val="multilevel"/>
    <w:tmpl w:val="6034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B6986"/>
    <w:multiLevelType w:val="hybridMultilevel"/>
    <w:tmpl w:val="226E4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973DC"/>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FE000C"/>
    <w:multiLevelType w:val="hybridMultilevel"/>
    <w:tmpl w:val="2DD801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42D5AC4"/>
    <w:multiLevelType w:val="hybridMultilevel"/>
    <w:tmpl w:val="4E12882A"/>
    <w:lvl w:ilvl="0" w:tplc="3874077A">
      <w:start w:val="1"/>
      <w:numFmt w:val="decimal"/>
      <w:lvlText w:val="%1)"/>
      <w:lvlJc w:val="left"/>
      <w:pPr>
        <w:ind w:left="1571" w:hanging="360"/>
      </w:pPr>
      <w:rPr>
        <w:rFonts w:hint="default"/>
      </w:rPr>
    </w:lvl>
    <w:lvl w:ilvl="1" w:tplc="04250019" w:tentative="1">
      <w:start w:val="1"/>
      <w:numFmt w:val="lowerLetter"/>
      <w:lvlText w:val="%2."/>
      <w:lvlJc w:val="left"/>
      <w:pPr>
        <w:ind w:left="2291" w:hanging="360"/>
      </w:pPr>
    </w:lvl>
    <w:lvl w:ilvl="2" w:tplc="0425001B" w:tentative="1">
      <w:start w:val="1"/>
      <w:numFmt w:val="lowerRoman"/>
      <w:lvlText w:val="%3."/>
      <w:lvlJc w:val="right"/>
      <w:pPr>
        <w:ind w:left="3011" w:hanging="180"/>
      </w:pPr>
    </w:lvl>
    <w:lvl w:ilvl="3" w:tplc="0425000F" w:tentative="1">
      <w:start w:val="1"/>
      <w:numFmt w:val="decimal"/>
      <w:lvlText w:val="%4."/>
      <w:lvlJc w:val="left"/>
      <w:pPr>
        <w:ind w:left="3731" w:hanging="360"/>
      </w:pPr>
    </w:lvl>
    <w:lvl w:ilvl="4" w:tplc="04250019" w:tentative="1">
      <w:start w:val="1"/>
      <w:numFmt w:val="lowerLetter"/>
      <w:lvlText w:val="%5."/>
      <w:lvlJc w:val="left"/>
      <w:pPr>
        <w:ind w:left="4451" w:hanging="360"/>
      </w:pPr>
    </w:lvl>
    <w:lvl w:ilvl="5" w:tplc="0425001B" w:tentative="1">
      <w:start w:val="1"/>
      <w:numFmt w:val="lowerRoman"/>
      <w:lvlText w:val="%6."/>
      <w:lvlJc w:val="right"/>
      <w:pPr>
        <w:ind w:left="5171" w:hanging="180"/>
      </w:pPr>
    </w:lvl>
    <w:lvl w:ilvl="6" w:tplc="0425000F" w:tentative="1">
      <w:start w:val="1"/>
      <w:numFmt w:val="decimal"/>
      <w:lvlText w:val="%7."/>
      <w:lvlJc w:val="left"/>
      <w:pPr>
        <w:ind w:left="5891" w:hanging="360"/>
      </w:pPr>
    </w:lvl>
    <w:lvl w:ilvl="7" w:tplc="04250019" w:tentative="1">
      <w:start w:val="1"/>
      <w:numFmt w:val="lowerLetter"/>
      <w:lvlText w:val="%8."/>
      <w:lvlJc w:val="left"/>
      <w:pPr>
        <w:ind w:left="6611" w:hanging="360"/>
      </w:pPr>
    </w:lvl>
    <w:lvl w:ilvl="8" w:tplc="0425001B" w:tentative="1">
      <w:start w:val="1"/>
      <w:numFmt w:val="lowerRoman"/>
      <w:lvlText w:val="%9."/>
      <w:lvlJc w:val="right"/>
      <w:pPr>
        <w:ind w:left="7331" w:hanging="180"/>
      </w:pPr>
    </w:lvl>
  </w:abstractNum>
  <w:abstractNum w:abstractNumId="6" w15:restartNumberingAfterBreak="0">
    <w:nsid w:val="358324AA"/>
    <w:multiLevelType w:val="hybridMultilevel"/>
    <w:tmpl w:val="9C701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A621162"/>
    <w:multiLevelType w:val="hybridMultilevel"/>
    <w:tmpl w:val="B4246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DC381D"/>
    <w:multiLevelType w:val="hybridMultilevel"/>
    <w:tmpl w:val="03C4D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733313"/>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0B6058"/>
    <w:multiLevelType w:val="hybridMultilevel"/>
    <w:tmpl w:val="1C7ACE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F70899"/>
    <w:multiLevelType w:val="hybridMultilevel"/>
    <w:tmpl w:val="F4E6CF70"/>
    <w:lvl w:ilvl="0" w:tplc="F8F8F7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65B6E"/>
    <w:multiLevelType w:val="hybridMultilevel"/>
    <w:tmpl w:val="4AA898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F75DF2"/>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F93600"/>
    <w:multiLevelType w:val="hybridMultilevel"/>
    <w:tmpl w:val="1C82F1F8"/>
    <w:lvl w:ilvl="0" w:tplc="527E3EB6">
      <w:start w:val="1"/>
      <w:numFmt w:val="decimal"/>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15" w15:restartNumberingAfterBreak="0">
    <w:nsid w:val="5F2A1E1E"/>
    <w:multiLevelType w:val="hybridMultilevel"/>
    <w:tmpl w:val="2AC674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F2F62F8"/>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FC18DC"/>
    <w:multiLevelType w:val="hybridMultilevel"/>
    <w:tmpl w:val="23B8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E51D1"/>
    <w:multiLevelType w:val="hybridMultilevel"/>
    <w:tmpl w:val="3F3643DE"/>
    <w:lvl w:ilvl="0" w:tplc="18A6E984">
      <w:start w:val="1"/>
      <w:numFmt w:val="decimal"/>
      <w:lvlText w:val="%1."/>
      <w:lvlJc w:val="left"/>
      <w:pPr>
        <w:ind w:left="780" w:hanging="4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78F7"/>
    <w:multiLevelType w:val="hybridMultilevel"/>
    <w:tmpl w:val="ED8C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D65C2"/>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715ACE"/>
    <w:multiLevelType w:val="hybridMultilevel"/>
    <w:tmpl w:val="5D7A6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95EC6"/>
    <w:multiLevelType w:val="hybridMultilevel"/>
    <w:tmpl w:val="0DA4BC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8DD75DD"/>
    <w:multiLevelType w:val="hybridMultilevel"/>
    <w:tmpl w:val="2AC67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B26F99"/>
    <w:multiLevelType w:val="hybridMultilevel"/>
    <w:tmpl w:val="2DD80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A965E8"/>
    <w:multiLevelType w:val="hybridMultilevel"/>
    <w:tmpl w:val="A36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366939">
    <w:abstractNumId w:val="17"/>
  </w:num>
  <w:num w:numId="2" w16cid:durableId="235363857">
    <w:abstractNumId w:val="7"/>
  </w:num>
  <w:num w:numId="3" w16cid:durableId="1184325619">
    <w:abstractNumId w:val="19"/>
  </w:num>
  <w:num w:numId="4" w16cid:durableId="1161386930">
    <w:abstractNumId w:val="25"/>
  </w:num>
  <w:num w:numId="5" w16cid:durableId="1140343546">
    <w:abstractNumId w:val="0"/>
  </w:num>
  <w:num w:numId="6" w16cid:durableId="2013363814">
    <w:abstractNumId w:val="1"/>
  </w:num>
  <w:num w:numId="7" w16cid:durableId="178854493">
    <w:abstractNumId w:val="22"/>
  </w:num>
  <w:num w:numId="8" w16cid:durableId="808664865">
    <w:abstractNumId w:val="11"/>
  </w:num>
  <w:num w:numId="9" w16cid:durableId="1271086337">
    <w:abstractNumId w:val="12"/>
  </w:num>
  <w:num w:numId="10" w16cid:durableId="172111910">
    <w:abstractNumId w:val="8"/>
  </w:num>
  <w:num w:numId="11" w16cid:durableId="1690832725">
    <w:abstractNumId w:val="10"/>
  </w:num>
  <w:num w:numId="12" w16cid:durableId="11685087">
    <w:abstractNumId w:val="4"/>
  </w:num>
  <w:num w:numId="13" w16cid:durableId="659969554">
    <w:abstractNumId w:val="6"/>
  </w:num>
  <w:num w:numId="14" w16cid:durableId="508642229">
    <w:abstractNumId w:val="9"/>
  </w:num>
  <w:num w:numId="15" w16cid:durableId="1292975342">
    <w:abstractNumId w:val="13"/>
  </w:num>
  <w:num w:numId="16" w16cid:durableId="378172214">
    <w:abstractNumId w:val="24"/>
  </w:num>
  <w:num w:numId="17" w16cid:durableId="270087672">
    <w:abstractNumId w:val="3"/>
  </w:num>
  <w:num w:numId="18" w16cid:durableId="2069374066">
    <w:abstractNumId w:val="15"/>
  </w:num>
  <w:num w:numId="19" w16cid:durableId="509102677">
    <w:abstractNumId w:val="20"/>
  </w:num>
  <w:num w:numId="20" w16cid:durableId="1840077630">
    <w:abstractNumId w:val="23"/>
  </w:num>
  <w:num w:numId="21" w16cid:durableId="328414022">
    <w:abstractNumId w:val="16"/>
  </w:num>
  <w:num w:numId="22" w16cid:durableId="501815608">
    <w:abstractNumId w:val="21"/>
  </w:num>
  <w:num w:numId="23" w16cid:durableId="811095446">
    <w:abstractNumId w:val="2"/>
  </w:num>
  <w:num w:numId="24" w16cid:durableId="583760907">
    <w:abstractNumId w:val="18"/>
  </w:num>
  <w:num w:numId="25" w16cid:durableId="854073249">
    <w:abstractNumId w:val="14"/>
  </w:num>
  <w:num w:numId="26" w16cid:durableId="2014408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F"/>
    <w:rsid w:val="0001177B"/>
    <w:rsid w:val="00025841"/>
    <w:rsid w:val="000375B1"/>
    <w:rsid w:val="00037B80"/>
    <w:rsid w:val="00051093"/>
    <w:rsid w:val="00054FFC"/>
    <w:rsid w:val="00070324"/>
    <w:rsid w:val="00081278"/>
    <w:rsid w:val="00083269"/>
    <w:rsid w:val="00097F5D"/>
    <w:rsid w:val="000B2B54"/>
    <w:rsid w:val="000D5E06"/>
    <w:rsid w:val="000F05CE"/>
    <w:rsid w:val="000F0FB3"/>
    <w:rsid w:val="0010037F"/>
    <w:rsid w:val="00101F7B"/>
    <w:rsid w:val="00103241"/>
    <w:rsid w:val="00107210"/>
    <w:rsid w:val="00114BE6"/>
    <w:rsid w:val="001169A1"/>
    <w:rsid w:val="00136291"/>
    <w:rsid w:val="00140D80"/>
    <w:rsid w:val="00150075"/>
    <w:rsid w:val="00160C15"/>
    <w:rsid w:val="0016138C"/>
    <w:rsid w:val="00166F9B"/>
    <w:rsid w:val="00170EF9"/>
    <w:rsid w:val="00171262"/>
    <w:rsid w:val="00174148"/>
    <w:rsid w:val="0017583C"/>
    <w:rsid w:val="00185D45"/>
    <w:rsid w:val="00186DD4"/>
    <w:rsid w:val="001A7444"/>
    <w:rsid w:val="001B0F6C"/>
    <w:rsid w:val="001B6D35"/>
    <w:rsid w:val="001C14C5"/>
    <w:rsid w:val="001C6E05"/>
    <w:rsid w:val="001C6E99"/>
    <w:rsid w:val="001C7C4B"/>
    <w:rsid w:val="001D062F"/>
    <w:rsid w:val="001E0014"/>
    <w:rsid w:val="001E63EE"/>
    <w:rsid w:val="001F25CA"/>
    <w:rsid w:val="0020446F"/>
    <w:rsid w:val="00244EF1"/>
    <w:rsid w:val="0024588C"/>
    <w:rsid w:val="00264F06"/>
    <w:rsid w:val="0027286F"/>
    <w:rsid w:val="00277E27"/>
    <w:rsid w:val="002878BE"/>
    <w:rsid w:val="00287D39"/>
    <w:rsid w:val="00291B5C"/>
    <w:rsid w:val="002B58F6"/>
    <w:rsid w:val="002D1C2A"/>
    <w:rsid w:val="002E04ED"/>
    <w:rsid w:val="002E3F6F"/>
    <w:rsid w:val="002E5E59"/>
    <w:rsid w:val="00306644"/>
    <w:rsid w:val="00317B16"/>
    <w:rsid w:val="00337DAF"/>
    <w:rsid w:val="00346CD8"/>
    <w:rsid w:val="00360A36"/>
    <w:rsid w:val="00361521"/>
    <w:rsid w:val="00362001"/>
    <w:rsid w:val="00382926"/>
    <w:rsid w:val="003B2263"/>
    <w:rsid w:val="003C34B9"/>
    <w:rsid w:val="003D2B85"/>
    <w:rsid w:val="003F139A"/>
    <w:rsid w:val="003F69B7"/>
    <w:rsid w:val="00400BD9"/>
    <w:rsid w:val="00406EA1"/>
    <w:rsid w:val="00407471"/>
    <w:rsid w:val="004156F5"/>
    <w:rsid w:val="0043062F"/>
    <w:rsid w:val="004345FA"/>
    <w:rsid w:val="00450DB9"/>
    <w:rsid w:val="0045195A"/>
    <w:rsid w:val="0045502C"/>
    <w:rsid w:val="004710FD"/>
    <w:rsid w:val="00477B02"/>
    <w:rsid w:val="004821CD"/>
    <w:rsid w:val="00495897"/>
    <w:rsid w:val="004A7CC5"/>
    <w:rsid w:val="004B2481"/>
    <w:rsid w:val="004C325E"/>
    <w:rsid w:val="004D72A3"/>
    <w:rsid w:val="004F7286"/>
    <w:rsid w:val="004F7B7D"/>
    <w:rsid w:val="0050263E"/>
    <w:rsid w:val="00503228"/>
    <w:rsid w:val="005143BC"/>
    <w:rsid w:val="00516043"/>
    <w:rsid w:val="005324F1"/>
    <w:rsid w:val="005328FE"/>
    <w:rsid w:val="005345A1"/>
    <w:rsid w:val="00553106"/>
    <w:rsid w:val="0056791A"/>
    <w:rsid w:val="005852F0"/>
    <w:rsid w:val="00586A65"/>
    <w:rsid w:val="00591549"/>
    <w:rsid w:val="005A56B2"/>
    <w:rsid w:val="005A71DB"/>
    <w:rsid w:val="005A7A74"/>
    <w:rsid w:val="005B07A6"/>
    <w:rsid w:val="005C13AA"/>
    <w:rsid w:val="005C15B9"/>
    <w:rsid w:val="005D7DBF"/>
    <w:rsid w:val="005E3FD9"/>
    <w:rsid w:val="006025D4"/>
    <w:rsid w:val="006107BE"/>
    <w:rsid w:val="0062020D"/>
    <w:rsid w:val="00622765"/>
    <w:rsid w:val="006227C7"/>
    <w:rsid w:val="00624F20"/>
    <w:rsid w:val="00627632"/>
    <w:rsid w:val="00635DD0"/>
    <w:rsid w:val="00675604"/>
    <w:rsid w:val="006A0B5E"/>
    <w:rsid w:val="006A6A0B"/>
    <w:rsid w:val="006C4EF1"/>
    <w:rsid w:val="006C70A2"/>
    <w:rsid w:val="006D45A6"/>
    <w:rsid w:val="006D671C"/>
    <w:rsid w:val="006F323F"/>
    <w:rsid w:val="007068AF"/>
    <w:rsid w:val="00716D9F"/>
    <w:rsid w:val="00716E8B"/>
    <w:rsid w:val="0072745B"/>
    <w:rsid w:val="00731E34"/>
    <w:rsid w:val="007369A6"/>
    <w:rsid w:val="0073748C"/>
    <w:rsid w:val="007557AB"/>
    <w:rsid w:val="00757196"/>
    <w:rsid w:val="007643B8"/>
    <w:rsid w:val="0076617C"/>
    <w:rsid w:val="00766D6F"/>
    <w:rsid w:val="00777B7B"/>
    <w:rsid w:val="0078692A"/>
    <w:rsid w:val="00794808"/>
    <w:rsid w:val="007B01DD"/>
    <w:rsid w:val="007C0111"/>
    <w:rsid w:val="007C7333"/>
    <w:rsid w:val="007D2103"/>
    <w:rsid w:val="007E5F35"/>
    <w:rsid w:val="007F0543"/>
    <w:rsid w:val="007F4B0F"/>
    <w:rsid w:val="00810FD6"/>
    <w:rsid w:val="0081628D"/>
    <w:rsid w:val="00857C9E"/>
    <w:rsid w:val="00881B6E"/>
    <w:rsid w:val="008C2762"/>
    <w:rsid w:val="008D1307"/>
    <w:rsid w:val="008E558E"/>
    <w:rsid w:val="008F3C12"/>
    <w:rsid w:val="00906C79"/>
    <w:rsid w:val="0091143E"/>
    <w:rsid w:val="00913D83"/>
    <w:rsid w:val="00924095"/>
    <w:rsid w:val="009344F4"/>
    <w:rsid w:val="00962905"/>
    <w:rsid w:val="00970200"/>
    <w:rsid w:val="00982733"/>
    <w:rsid w:val="00986675"/>
    <w:rsid w:val="009B0428"/>
    <w:rsid w:val="009C3B67"/>
    <w:rsid w:val="009C513D"/>
    <w:rsid w:val="009D32CD"/>
    <w:rsid w:val="009D424A"/>
    <w:rsid w:val="009E058A"/>
    <w:rsid w:val="009F204C"/>
    <w:rsid w:val="009F56FC"/>
    <w:rsid w:val="00A25439"/>
    <w:rsid w:val="00A40389"/>
    <w:rsid w:val="00A446AD"/>
    <w:rsid w:val="00A5694A"/>
    <w:rsid w:val="00A77B6D"/>
    <w:rsid w:val="00A871F1"/>
    <w:rsid w:val="00A87C69"/>
    <w:rsid w:val="00A95C96"/>
    <w:rsid w:val="00AA5603"/>
    <w:rsid w:val="00AA7AA9"/>
    <w:rsid w:val="00AB2CEA"/>
    <w:rsid w:val="00AD54DB"/>
    <w:rsid w:val="00AD7F6A"/>
    <w:rsid w:val="00AE0866"/>
    <w:rsid w:val="00AE322A"/>
    <w:rsid w:val="00AF516D"/>
    <w:rsid w:val="00B104A1"/>
    <w:rsid w:val="00B13221"/>
    <w:rsid w:val="00B278B1"/>
    <w:rsid w:val="00B31BE6"/>
    <w:rsid w:val="00B4241E"/>
    <w:rsid w:val="00B45E45"/>
    <w:rsid w:val="00B91687"/>
    <w:rsid w:val="00B95B5F"/>
    <w:rsid w:val="00B95B91"/>
    <w:rsid w:val="00BA4C43"/>
    <w:rsid w:val="00BC05CE"/>
    <w:rsid w:val="00BC0F72"/>
    <w:rsid w:val="00BC4DA7"/>
    <w:rsid w:val="00BD1714"/>
    <w:rsid w:val="00BD3B44"/>
    <w:rsid w:val="00BE10B4"/>
    <w:rsid w:val="00BE5015"/>
    <w:rsid w:val="00BF40E0"/>
    <w:rsid w:val="00BF7CD8"/>
    <w:rsid w:val="00C00C62"/>
    <w:rsid w:val="00C0532D"/>
    <w:rsid w:val="00C247AA"/>
    <w:rsid w:val="00C333A2"/>
    <w:rsid w:val="00C3558D"/>
    <w:rsid w:val="00C37E08"/>
    <w:rsid w:val="00C413CA"/>
    <w:rsid w:val="00C45D81"/>
    <w:rsid w:val="00C50978"/>
    <w:rsid w:val="00C54D24"/>
    <w:rsid w:val="00C57B40"/>
    <w:rsid w:val="00C64A34"/>
    <w:rsid w:val="00C73D73"/>
    <w:rsid w:val="00C75D2F"/>
    <w:rsid w:val="00C85489"/>
    <w:rsid w:val="00CA1B06"/>
    <w:rsid w:val="00CA2E41"/>
    <w:rsid w:val="00CC5C56"/>
    <w:rsid w:val="00CD16DE"/>
    <w:rsid w:val="00CD7AEA"/>
    <w:rsid w:val="00CE018E"/>
    <w:rsid w:val="00CE1432"/>
    <w:rsid w:val="00CE64B4"/>
    <w:rsid w:val="00CF7280"/>
    <w:rsid w:val="00D01E72"/>
    <w:rsid w:val="00D17445"/>
    <w:rsid w:val="00D240B4"/>
    <w:rsid w:val="00D47329"/>
    <w:rsid w:val="00D664B1"/>
    <w:rsid w:val="00DA104B"/>
    <w:rsid w:val="00DA5403"/>
    <w:rsid w:val="00DA64E6"/>
    <w:rsid w:val="00DB3E57"/>
    <w:rsid w:val="00DB44A1"/>
    <w:rsid w:val="00DB70E7"/>
    <w:rsid w:val="00DC51C0"/>
    <w:rsid w:val="00DC68D9"/>
    <w:rsid w:val="00DD253A"/>
    <w:rsid w:val="00DD2D61"/>
    <w:rsid w:val="00DD5267"/>
    <w:rsid w:val="00DE6E97"/>
    <w:rsid w:val="00DF0D25"/>
    <w:rsid w:val="00E01784"/>
    <w:rsid w:val="00E03AA9"/>
    <w:rsid w:val="00E05462"/>
    <w:rsid w:val="00E06922"/>
    <w:rsid w:val="00E1785A"/>
    <w:rsid w:val="00E17ACE"/>
    <w:rsid w:val="00E21A3A"/>
    <w:rsid w:val="00E3151C"/>
    <w:rsid w:val="00E40AF7"/>
    <w:rsid w:val="00E4101F"/>
    <w:rsid w:val="00E4609B"/>
    <w:rsid w:val="00E61BFC"/>
    <w:rsid w:val="00E72BD8"/>
    <w:rsid w:val="00E848EA"/>
    <w:rsid w:val="00EA1ED3"/>
    <w:rsid w:val="00EB43E6"/>
    <w:rsid w:val="00EB6811"/>
    <w:rsid w:val="00EC06D0"/>
    <w:rsid w:val="00EC5793"/>
    <w:rsid w:val="00EC5D70"/>
    <w:rsid w:val="00ED343E"/>
    <w:rsid w:val="00EE14AA"/>
    <w:rsid w:val="00EE299E"/>
    <w:rsid w:val="00EE3ACE"/>
    <w:rsid w:val="00EE7A6D"/>
    <w:rsid w:val="00EF2296"/>
    <w:rsid w:val="00F07EE5"/>
    <w:rsid w:val="00F3019A"/>
    <w:rsid w:val="00F323EB"/>
    <w:rsid w:val="00F36E6B"/>
    <w:rsid w:val="00F54B62"/>
    <w:rsid w:val="00F6367C"/>
    <w:rsid w:val="00F643FA"/>
    <w:rsid w:val="00F65685"/>
    <w:rsid w:val="00F6574C"/>
    <w:rsid w:val="00F67470"/>
    <w:rsid w:val="00F812C3"/>
    <w:rsid w:val="00F95B3E"/>
    <w:rsid w:val="00F961DF"/>
    <w:rsid w:val="00FB4BE5"/>
    <w:rsid w:val="00FC1B17"/>
    <w:rsid w:val="00FD53C3"/>
    <w:rsid w:val="00FF4A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7C314"/>
  <w14:defaultImageDpi w14:val="300"/>
  <w15:docId w15:val="{C7EAFF96-D951-AC43-B1A5-2707BD6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B4"/>
    <w:pPr>
      <w:spacing w:after="160" w:line="259" w:lineRule="auto"/>
    </w:pPr>
    <w:rPr>
      <w:rFonts w:eastAsiaTheme="minorHAnsi"/>
      <w:sz w:val="22"/>
      <w:szCs w:val="22"/>
      <w:lang w:val="et-EE"/>
    </w:rPr>
  </w:style>
  <w:style w:type="paragraph" w:styleId="Heading1">
    <w:name w:val="heading 1"/>
    <w:basedOn w:val="Normal"/>
    <w:next w:val="Normal"/>
    <w:link w:val="Heading1Char"/>
    <w:uiPriority w:val="9"/>
    <w:qFormat/>
    <w:rsid w:val="0045195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84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23F"/>
    <w:pPr>
      <w:tabs>
        <w:tab w:val="center" w:pos="4320"/>
        <w:tab w:val="right" w:pos="8640"/>
      </w:tabs>
    </w:pPr>
  </w:style>
  <w:style w:type="character" w:customStyle="1" w:styleId="HeaderChar">
    <w:name w:val="Header Char"/>
    <w:basedOn w:val="DefaultParagraphFont"/>
    <w:link w:val="Header"/>
    <w:uiPriority w:val="99"/>
    <w:rsid w:val="006F323F"/>
  </w:style>
  <w:style w:type="paragraph" w:styleId="Footer">
    <w:name w:val="footer"/>
    <w:basedOn w:val="Normal"/>
    <w:link w:val="FooterChar"/>
    <w:uiPriority w:val="99"/>
    <w:unhideWhenUsed/>
    <w:rsid w:val="006F323F"/>
    <w:pPr>
      <w:tabs>
        <w:tab w:val="center" w:pos="4320"/>
        <w:tab w:val="right" w:pos="8640"/>
      </w:tabs>
    </w:pPr>
  </w:style>
  <w:style w:type="character" w:customStyle="1" w:styleId="FooterChar">
    <w:name w:val="Footer Char"/>
    <w:basedOn w:val="DefaultParagraphFont"/>
    <w:link w:val="Footer"/>
    <w:uiPriority w:val="99"/>
    <w:rsid w:val="006F323F"/>
  </w:style>
  <w:style w:type="character" w:styleId="Hyperlink">
    <w:name w:val="Hyperlink"/>
    <w:basedOn w:val="DefaultParagraphFont"/>
    <w:uiPriority w:val="99"/>
    <w:unhideWhenUsed/>
    <w:rsid w:val="004F7B7D"/>
    <w:rPr>
      <w:color w:val="0000FF" w:themeColor="hyperlink"/>
      <w:u w:val="single"/>
    </w:rPr>
  </w:style>
  <w:style w:type="character" w:customStyle="1" w:styleId="UnresolvedMention1">
    <w:name w:val="Unresolved Mention1"/>
    <w:basedOn w:val="DefaultParagraphFont"/>
    <w:uiPriority w:val="99"/>
    <w:semiHidden/>
    <w:unhideWhenUsed/>
    <w:rsid w:val="004F7B7D"/>
    <w:rPr>
      <w:color w:val="605E5C"/>
      <w:shd w:val="clear" w:color="auto" w:fill="E1DFDD"/>
    </w:rPr>
  </w:style>
  <w:style w:type="paragraph" w:styleId="BalloonText">
    <w:name w:val="Balloon Text"/>
    <w:basedOn w:val="Normal"/>
    <w:link w:val="BalloonTextChar"/>
    <w:uiPriority w:val="99"/>
    <w:semiHidden/>
    <w:unhideWhenUsed/>
    <w:rsid w:val="00AE0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866"/>
    <w:rPr>
      <w:rFonts w:ascii="Lucida Grande" w:hAnsi="Lucida Grande" w:cs="Lucida Grande"/>
      <w:sz w:val="18"/>
      <w:szCs w:val="18"/>
    </w:rPr>
  </w:style>
  <w:style w:type="paragraph" w:styleId="ListParagraph">
    <w:name w:val="List Paragraph"/>
    <w:basedOn w:val="Normal"/>
    <w:uiPriority w:val="34"/>
    <w:qFormat/>
    <w:rsid w:val="003C34B9"/>
    <w:pPr>
      <w:ind w:left="720"/>
      <w:contextualSpacing/>
    </w:pPr>
  </w:style>
  <w:style w:type="paragraph" w:customStyle="1" w:styleId="Default">
    <w:name w:val="Default"/>
    <w:rsid w:val="007068AF"/>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45195A"/>
    <w:rPr>
      <w:rFonts w:asciiTheme="majorHAnsi" w:eastAsiaTheme="majorEastAsia" w:hAnsiTheme="majorHAnsi" w:cstheme="majorBidi"/>
      <w:b/>
      <w:bCs/>
      <w:color w:val="345A8A" w:themeColor="accent1" w:themeShade="B5"/>
      <w:sz w:val="32"/>
      <w:szCs w:val="32"/>
      <w:lang w:val="et-EE"/>
    </w:rPr>
  </w:style>
  <w:style w:type="paragraph" w:customStyle="1" w:styleId="Normal1">
    <w:name w:val="Normal1"/>
    <w:rsid w:val="005A56B2"/>
    <w:pPr>
      <w:spacing w:line="276" w:lineRule="auto"/>
    </w:pPr>
    <w:rPr>
      <w:rFonts w:ascii="Arial" w:eastAsia="Arial" w:hAnsi="Arial" w:cs="Arial"/>
      <w:sz w:val="22"/>
      <w:szCs w:val="22"/>
      <w:lang w:val="et-EE"/>
    </w:rPr>
  </w:style>
  <w:style w:type="paragraph" w:styleId="FootnoteText">
    <w:name w:val="footnote text"/>
    <w:basedOn w:val="Normal"/>
    <w:link w:val="FootnoteTextChar"/>
    <w:uiPriority w:val="99"/>
    <w:semiHidden/>
    <w:unhideWhenUsed/>
    <w:rsid w:val="00CC5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C56"/>
    <w:rPr>
      <w:rFonts w:eastAsiaTheme="minorHAnsi"/>
      <w:sz w:val="20"/>
      <w:szCs w:val="20"/>
      <w:lang w:val="et-EE"/>
    </w:rPr>
  </w:style>
  <w:style w:type="character" w:styleId="FootnoteReference">
    <w:name w:val="footnote reference"/>
    <w:basedOn w:val="DefaultParagraphFont"/>
    <w:uiPriority w:val="99"/>
    <w:unhideWhenUsed/>
    <w:rsid w:val="00CC5C56"/>
    <w:rPr>
      <w:vertAlign w:val="superscript"/>
    </w:rPr>
  </w:style>
  <w:style w:type="character" w:styleId="UnresolvedMention">
    <w:name w:val="Unresolved Mention"/>
    <w:basedOn w:val="DefaultParagraphFont"/>
    <w:uiPriority w:val="99"/>
    <w:semiHidden/>
    <w:unhideWhenUsed/>
    <w:rsid w:val="00CE018E"/>
    <w:rPr>
      <w:color w:val="605E5C"/>
      <w:shd w:val="clear" w:color="auto" w:fill="E1DFDD"/>
    </w:rPr>
  </w:style>
  <w:style w:type="paragraph" w:styleId="BodyTextIndent">
    <w:name w:val="Body Text Indent"/>
    <w:basedOn w:val="Normal"/>
    <w:link w:val="BodyTextIndentChar"/>
    <w:uiPriority w:val="99"/>
    <w:unhideWhenUsed/>
    <w:rsid w:val="0091143E"/>
    <w:pPr>
      <w:spacing w:after="0" w:line="240" w:lineRule="auto"/>
      <w:ind w:left="720"/>
    </w:pPr>
    <w:rPr>
      <w:rFonts w:eastAsia="Times New Roman"/>
      <w:u w:val="single"/>
    </w:rPr>
  </w:style>
  <w:style w:type="character" w:customStyle="1" w:styleId="BodyTextIndentChar">
    <w:name w:val="Body Text Indent Char"/>
    <w:basedOn w:val="DefaultParagraphFont"/>
    <w:link w:val="BodyTextIndent"/>
    <w:uiPriority w:val="99"/>
    <w:rsid w:val="0091143E"/>
    <w:rPr>
      <w:rFonts w:eastAsia="Times New Roman"/>
      <w:sz w:val="22"/>
      <w:szCs w:val="22"/>
      <w:u w:val="single"/>
      <w:lang w:val="et-EE"/>
    </w:rPr>
  </w:style>
  <w:style w:type="character" w:customStyle="1" w:styleId="Heading2Char">
    <w:name w:val="Heading 2 Char"/>
    <w:basedOn w:val="DefaultParagraphFont"/>
    <w:link w:val="Heading2"/>
    <w:uiPriority w:val="9"/>
    <w:semiHidden/>
    <w:rsid w:val="00E848EA"/>
    <w:rPr>
      <w:rFonts w:asciiTheme="majorHAnsi" w:eastAsiaTheme="majorEastAsia" w:hAnsiTheme="majorHAnsi" w:cstheme="majorBidi"/>
      <w:color w:val="365F91" w:themeColor="accent1" w:themeShade="BF"/>
      <w:sz w:val="26"/>
      <w:szCs w:val="26"/>
      <w:lang w:val="et-EE"/>
    </w:rPr>
  </w:style>
  <w:style w:type="character" w:styleId="CommentReference">
    <w:name w:val="annotation reference"/>
    <w:basedOn w:val="DefaultParagraphFont"/>
    <w:uiPriority w:val="99"/>
    <w:semiHidden/>
    <w:unhideWhenUsed/>
    <w:rsid w:val="004710FD"/>
    <w:rPr>
      <w:sz w:val="16"/>
      <w:szCs w:val="16"/>
    </w:rPr>
  </w:style>
  <w:style w:type="paragraph" w:styleId="CommentText">
    <w:name w:val="annotation text"/>
    <w:basedOn w:val="Normal"/>
    <w:link w:val="CommentTextChar"/>
    <w:uiPriority w:val="99"/>
    <w:unhideWhenUsed/>
    <w:rsid w:val="00BD3B44"/>
    <w:pPr>
      <w:spacing w:line="240" w:lineRule="auto"/>
    </w:pPr>
    <w:rPr>
      <w:sz w:val="20"/>
      <w:szCs w:val="20"/>
    </w:rPr>
  </w:style>
  <w:style w:type="character" w:customStyle="1" w:styleId="CommentTextChar">
    <w:name w:val="Comment Text Char"/>
    <w:basedOn w:val="DefaultParagraphFont"/>
    <w:link w:val="CommentText"/>
    <w:uiPriority w:val="99"/>
    <w:rsid w:val="00BD3B44"/>
    <w:rPr>
      <w:rFonts w:eastAsiaTheme="minorHAnsi"/>
      <w:sz w:val="20"/>
      <w:szCs w:val="20"/>
      <w:lang w:val="et-EE"/>
    </w:rPr>
  </w:style>
  <w:style w:type="paragraph" w:styleId="CommentSubject">
    <w:name w:val="annotation subject"/>
    <w:basedOn w:val="CommentText"/>
    <w:next w:val="CommentText"/>
    <w:link w:val="CommentSubjectChar"/>
    <w:uiPriority w:val="99"/>
    <w:semiHidden/>
    <w:unhideWhenUsed/>
    <w:rsid w:val="00BD3B44"/>
    <w:rPr>
      <w:b/>
      <w:bCs/>
    </w:rPr>
  </w:style>
  <w:style w:type="character" w:customStyle="1" w:styleId="CommentSubjectChar">
    <w:name w:val="Comment Subject Char"/>
    <w:basedOn w:val="CommentTextChar"/>
    <w:link w:val="CommentSubject"/>
    <w:uiPriority w:val="99"/>
    <w:semiHidden/>
    <w:rsid w:val="00BD3B44"/>
    <w:rPr>
      <w:rFonts w:eastAsiaTheme="minorHAnsi"/>
      <w:b/>
      <w:bCs/>
      <w:sz w:val="20"/>
      <w:szCs w:val="20"/>
      <w:lang w:val="et-EE"/>
    </w:rPr>
  </w:style>
  <w:style w:type="paragraph" w:styleId="Revision">
    <w:name w:val="Revision"/>
    <w:hidden/>
    <w:uiPriority w:val="99"/>
    <w:semiHidden/>
    <w:rsid w:val="00DE6E97"/>
    <w:rPr>
      <w:rFonts w:eastAsiaTheme="minorHAnsi"/>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6838">
      <w:bodyDiv w:val="1"/>
      <w:marLeft w:val="0"/>
      <w:marRight w:val="0"/>
      <w:marTop w:val="0"/>
      <w:marBottom w:val="0"/>
      <w:divBdr>
        <w:top w:val="none" w:sz="0" w:space="0" w:color="auto"/>
        <w:left w:val="none" w:sz="0" w:space="0" w:color="auto"/>
        <w:bottom w:val="none" w:sz="0" w:space="0" w:color="auto"/>
        <w:right w:val="none" w:sz="0" w:space="0" w:color="auto"/>
      </w:divBdr>
    </w:div>
    <w:div w:id="138890526">
      <w:bodyDiv w:val="1"/>
      <w:marLeft w:val="0"/>
      <w:marRight w:val="0"/>
      <w:marTop w:val="0"/>
      <w:marBottom w:val="0"/>
      <w:divBdr>
        <w:top w:val="none" w:sz="0" w:space="0" w:color="auto"/>
        <w:left w:val="none" w:sz="0" w:space="0" w:color="auto"/>
        <w:bottom w:val="none" w:sz="0" w:space="0" w:color="auto"/>
        <w:right w:val="none" w:sz="0" w:space="0" w:color="auto"/>
      </w:divBdr>
    </w:div>
    <w:div w:id="278727422">
      <w:bodyDiv w:val="1"/>
      <w:marLeft w:val="0"/>
      <w:marRight w:val="0"/>
      <w:marTop w:val="0"/>
      <w:marBottom w:val="0"/>
      <w:divBdr>
        <w:top w:val="none" w:sz="0" w:space="0" w:color="auto"/>
        <w:left w:val="none" w:sz="0" w:space="0" w:color="auto"/>
        <w:bottom w:val="none" w:sz="0" w:space="0" w:color="auto"/>
        <w:right w:val="none" w:sz="0" w:space="0" w:color="auto"/>
      </w:divBdr>
    </w:div>
    <w:div w:id="397631030">
      <w:bodyDiv w:val="1"/>
      <w:marLeft w:val="0"/>
      <w:marRight w:val="0"/>
      <w:marTop w:val="0"/>
      <w:marBottom w:val="0"/>
      <w:divBdr>
        <w:top w:val="none" w:sz="0" w:space="0" w:color="auto"/>
        <w:left w:val="none" w:sz="0" w:space="0" w:color="auto"/>
        <w:bottom w:val="none" w:sz="0" w:space="0" w:color="auto"/>
        <w:right w:val="none" w:sz="0" w:space="0" w:color="auto"/>
      </w:divBdr>
    </w:div>
    <w:div w:id="657274191">
      <w:bodyDiv w:val="1"/>
      <w:marLeft w:val="0"/>
      <w:marRight w:val="0"/>
      <w:marTop w:val="0"/>
      <w:marBottom w:val="0"/>
      <w:divBdr>
        <w:top w:val="none" w:sz="0" w:space="0" w:color="auto"/>
        <w:left w:val="none" w:sz="0" w:space="0" w:color="auto"/>
        <w:bottom w:val="none" w:sz="0" w:space="0" w:color="auto"/>
        <w:right w:val="none" w:sz="0" w:space="0" w:color="auto"/>
      </w:divBdr>
    </w:div>
    <w:div w:id="779645966">
      <w:bodyDiv w:val="1"/>
      <w:marLeft w:val="0"/>
      <w:marRight w:val="0"/>
      <w:marTop w:val="0"/>
      <w:marBottom w:val="0"/>
      <w:divBdr>
        <w:top w:val="none" w:sz="0" w:space="0" w:color="auto"/>
        <w:left w:val="none" w:sz="0" w:space="0" w:color="auto"/>
        <w:bottom w:val="none" w:sz="0" w:space="0" w:color="auto"/>
        <w:right w:val="none" w:sz="0" w:space="0" w:color="auto"/>
      </w:divBdr>
    </w:div>
    <w:div w:id="887499719">
      <w:bodyDiv w:val="1"/>
      <w:marLeft w:val="0"/>
      <w:marRight w:val="0"/>
      <w:marTop w:val="0"/>
      <w:marBottom w:val="0"/>
      <w:divBdr>
        <w:top w:val="none" w:sz="0" w:space="0" w:color="auto"/>
        <w:left w:val="none" w:sz="0" w:space="0" w:color="auto"/>
        <w:bottom w:val="none" w:sz="0" w:space="0" w:color="auto"/>
        <w:right w:val="none" w:sz="0" w:space="0" w:color="auto"/>
      </w:divBdr>
    </w:div>
    <w:div w:id="1068377381">
      <w:bodyDiv w:val="1"/>
      <w:marLeft w:val="0"/>
      <w:marRight w:val="0"/>
      <w:marTop w:val="0"/>
      <w:marBottom w:val="0"/>
      <w:divBdr>
        <w:top w:val="none" w:sz="0" w:space="0" w:color="auto"/>
        <w:left w:val="none" w:sz="0" w:space="0" w:color="auto"/>
        <w:bottom w:val="none" w:sz="0" w:space="0" w:color="auto"/>
        <w:right w:val="none" w:sz="0" w:space="0" w:color="auto"/>
      </w:divBdr>
    </w:div>
    <w:div w:id="1282805184">
      <w:bodyDiv w:val="1"/>
      <w:marLeft w:val="0"/>
      <w:marRight w:val="0"/>
      <w:marTop w:val="0"/>
      <w:marBottom w:val="0"/>
      <w:divBdr>
        <w:top w:val="none" w:sz="0" w:space="0" w:color="auto"/>
        <w:left w:val="none" w:sz="0" w:space="0" w:color="auto"/>
        <w:bottom w:val="none" w:sz="0" w:space="0" w:color="auto"/>
        <w:right w:val="none" w:sz="0" w:space="0" w:color="auto"/>
      </w:divBdr>
    </w:div>
    <w:div w:id="1394229460">
      <w:bodyDiv w:val="1"/>
      <w:marLeft w:val="0"/>
      <w:marRight w:val="0"/>
      <w:marTop w:val="0"/>
      <w:marBottom w:val="0"/>
      <w:divBdr>
        <w:top w:val="none" w:sz="0" w:space="0" w:color="auto"/>
        <w:left w:val="none" w:sz="0" w:space="0" w:color="auto"/>
        <w:bottom w:val="none" w:sz="0" w:space="0" w:color="auto"/>
        <w:right w:val="none" w:sz="0" w:space="0" w:color="auto"/>
      </w:divBdr>
    </w:div>
    <w:div w:id="1471441046">
      <w:bodyDiv w:val="1"/>
      <w:marLeft w:val="0"/>
      <w:marRight w:val="0"/>
      <w:marTop w:val="0"/>
      <w:marBottom w:val="0"/>
      <w:divBdr>
        <w:top w:val="none" w:sz="0" w:space="0" w:color="auto"/>
        <w:left w:val="none" w:sz="0" w:space="0" w:color="auto"/>
        <w:bottom w:val="none" w:sz="0" w:space="0" w:color="auto"/>
        <w:right w:val="none" w:sz="0" w:space="0" w:color="auto"/>
      </w:divBdr>
    </w:div>
    <w:div w:id="1622570573">
      <w:bodyDiv w:val="1"/>
      <w:marLeft w:val="0"/>
      <w:marRight w:val="0"/>
      <w:marTop w:val="0"/>
      <w:marBottom w:val="0"/>
      <w:divBdr>
        <w:top w:val="none" w:sz="0" w:space="0" w:color="auto"/>
        <w:left w:val="none" w:sz="0" w:space="0" w:color="auto"/>
        <w:bottom w:val="none" w:sz="0" w:space="0" w:color="auto"/>
        <w:right w:val="none" w:sz="0" w:space="0" w:color="auto"/>
      </w:divBdr>
    </w:div>
    <w:div w:id="2076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666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58021">
              <w:marLeft w:val="0"/>
              <w:marRight w:val="0"/>
              <w:marTop w:val="0"/>
              <w:marBottom w:val="0"/>
              <w:divBdr>
                <w:top w:val="none" w:sz="0" w:space="0" w:color="auto"/>
                <w:left w:val="none" w:sz="0" w:space="0" w:color="auto"/>
                <w:bottom w:val="none" w:sz="0" w:space="0" w:color="auto"/>
                <w:right w:val="none" w:sz="0" w:space="0" w:color="auto"/>
              </w:divBdr>
              <w:divsChild>
                <w:div w:id="2135978508">
                  <w:marLeft w:val="0"/>
                  <w:marRight w:val="0"/>
                  <w:marTop w:val="0"/>
                  <w:marBottom w:val="0"/>
                  <w:divBdr>
                    <w:top w:val="none" w:sz="0" w:space="0" w:color="auto"/>
                    <w:left w:val="none" w:sz="0" w:space="0" w:color="auto"/>
                    <w:bottom w:val="none" w:sz="0" w:space="0" w:color="auto"/>
                    <w:right w:val="none" w:sz="0" w:space="0" w:color="auto"/>
                  </w:divBdr>
                  <w:divsChild>
                    <w:div w:id="491677901">
                      <w:marLeft w:val="0"/>
                      <w:marRight w:val="0"/>
                      <w:marTop w:val="0"/>
                      <w:marBottom w:val="0"/>
                      <w:divBdr>
                        <w:top w:val="none" w:sz="0" w:space="0" w:color="auto"/>
                        <w:left w:val="none" w:sz="0" w:space="0" w:color="auto"/>
                        <w:bottom w:val="none" w:sz="0" w:space="0" w:color="auto"/>
                        <w:right w:val="none" w:sz="0" w:space="0" w:color="auto"/>
                      </w:divBdr>
                    </w:div>
                    <w:div w:id="492650027">
                      <w:marLeft w:val="0"/>
                      <w:marRight w:val="0"/>
                      <w:marTop w:val="0"/>
                      <w:marBottom w:val="0"/>
                      <w:divBdr>
                        <w:top w:val="none" w:sz="0" w:space="0" w:color="auto"/>
                        <w:left w:val="none" w:sz="0" w:space="0" w:color="auto"/>
                        <w:bottom w:val="none" w:sz="0" w:space="0" w:color="auto"/>
                        <w:right w:val="none" w:sz="0" w:space="0" w:color="auto"/>
                      </w:divBdr>
                    </w:div>
                    <w:div w:id="857600">
                      <w:marLeft w:val="0"/>
                      <w:marRight w:val="0"/>
                      <w:marTop w:val="0"/>
                      <w:marBottom w:val="0"/>
                      <w:divBdr>
                        <w:top w:val="none" w:sz="0" w:space="0" w:color="auto"/>
                        <w:left w:val="none" w:sz="0" w:space="0" w:color="auto"/>
                        <w:bottom w:val="none" w:sz="0" w:space="0" w:color="auto"/>
                        <w:right w:val="none" w:sz="0" w:space="0" w:color="auto"/>
                      </w:divBdr>
                    </w:div>
                    <w:div w:id="138692796">
                      <w:marLeft w:val="0"/>
                      <w:marRight w:val="0"/>
                      <w:marTop w:val="0"/>
                      <w:marBottom w:val="0"/>
                      <w:divBdr>
                        <w:top w:val="none" w:sz="0" w:space="0" w:color="auto"/>
                        <w:left w:val="none" w:sz="0" w:space="0" w:color="auto"/>
                        <w:bottom w:val="none" w:sz="0" w:space="0" w:color="auto"/>
                        <w:right w:val="none" w:sz="0" w:space="0" w:color="auto"/>
                      </w:divBdr>
                    </w:div>
                    <w:div w:id="15940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6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hl.ee" TargetMode="External"/><Relationship Id="rId1" Type="http://schemas.openxmlformats.org/officeDocument/2006/relationships/hyperlink" Target="mailto:tallinn@ehl.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7DBA-E7FF-2F42-A272-CCBDB9A1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Helen Lang</cp:lastModifiedBy>
  <cp:revision>5</cp:revision>
  <cp:lastPrinted>2022-06-06T09:39:00Z</cp:lastPrinted>
  <dcterms:created xsi:type="dcterms:W3CDTF">2026-02-03T13:11:00Z</dcterms:created>
  <dcterms:modified xsi:type="dcterms:W3CDTF">2026-02-03T13:17:00Z</dcterms:modified>
</cp:coreProperties>
</file>